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Layout w:type="fixed"/>
        <w:tblLook w:val="01E0" w:firstRow="1" w:lastRow="1" w:firstColumn="1" w:lastColumn="1" w:noHBand="0" w:noVBand="0"/>
      </w:tblPr>
      <w:tblGrid>
        <w:gridCol w:w="1668"/>
        <w:gridCol w:w="240"/>
        <w:gridCol w:w="120"/>
        <w:gridCol w:w="7186"/>
      </w:tblGrid>
      <w:tr w:rsidR="005F0814" w:rsidRPr="005251F3" w:rsidTr="00061E91">
        <w:trPr>
          <w:cantSplit/>
        </w:trPr>
        <w:tc>
          <w:tcPr>
            <w:tcW w:w="1668" w:type="dxa"/>
            <w:shd w:val="clear" w:color="auto" w:fill="auto"/>
          </w:tcPr>
          <w:p w:rsidR="005F0814" w:rsidRPr="00EC6527" w:rsidRDefault="005F0814" w:rsidP="00EC6527">
            <w:pPr>
              <w:spacing w:line="276" w:lineRule="auto"/>
              <w:rPr>
                <w:rFonts w:ascii="Arial" w:hAnsi="Arial" w:cs="Arial"/>
                <w:sz w:val="20"/>
                <w:szCs w:val="20"/>
              </w:rPr>
            </w:pPr>
          </w:p>
        </w:tc>
        <w:tc>
          <w:tcPr>
            <w:tcW w:w="7546" w:type="dxa"/>
            <w:gridSpan w:val="3"/>
            <w:shd w:val="clear" w:color="auto" w:fill="auto"/>
          </w:tcPr>
          <w:p w:rsidR="00213FFD" w:rsidRPr="005251F3" w:rsidRDefault="005F0814" w:rsidP="00213FFD">
            <w:pPr>
              <w:spacing w:before="80" w:line="276" w:lineRule="auto"/>
              <w:jc w:val="both"/>
              <w:rPr>
                <w:rFonts w:ascii="Arial" w:hAnsi="Arial" w:cs="Arial"/>
                <w:b/>
                <w:sz w:val="20"/>
                <w:szCs w:val="20"/>
              </w:rPr>
            </w:pPr>
            <w:r w:rsidRPr="005251F3">
              <w:rPr>
                <w:rFonts w:ascii="Arial" w:hAnsi="Arial" w:cs="Arial"/>
                <w:b/>
                <w:sz w:val="20"/>
                <w:szCs w:val="20"/>
              </w:rPr>
              <w:t>Richtlinie</w:t>
            </w:r>
            <w:r w:rsidR="00EC6527" w:rsidRPr="005251F3">
              <w:rPr>
                <w:rFonts w:ascii="Arial" w:hAnsi="Arial" w:cs="Arial"/>
                <w:b/>
                <w:sz w:val="20"/>
                <w:szCs w:val="20"/>
              </w:rPr>
              <w:t xml:space="preserve"> </w:t>
            </w:r>
            <w:r w:rsidRPr="005251F3">
              <w:rPr>
                <w:rFonts w:ascii="Arial" w:hAnsi="Arial" w:cs="Arial"/>
                <w:b/>
                <w:sz w:val="20"/>
                <w:szCs w:val="20"/>
              </w:rPr>
              <w:t>zur</w:t>
            </w:r>
            <w:r w:rsidR="00EC6527" w:rsidRPr="005251F3">
              <w:rPr>
                <w:rFonts w:ascii="Arial" w:hAnsi="Arial" w:cs="Arial"/>
                <w:b/>
                <w:sz w:val="20"/>
                <w:szCs w:val="20"/>
              </w:rPr>
              <w:t xml:space="preserve"> </w:t>
            </w:r>
            <w:r w:rsidRPr="005251F3">
              <w:rPr>
                <w:rFonts w:ascii="Arial" w:hAnsi="Arial" w:cs="Arial"/>
                <w:b/>
                <w:sz w:val="20"/>
                <w:szCs w:val="20"/>
              </w:rPr>
              <w:t xml:space="preserve">Ausfertigung von </w:t>
            </w:r>
          </w:p>
          <w:p w:rsidR="00EC6527" w:rsidRPr="005251F3" w:rsidRDefault="005F0814" w:rsidP="00213FFD">
            <w:pPr>
              <w:pStyle w:val="Listenabsatz"/>
              <w:numPr>
                <w:ilvl w:val="0"/>
                <w:numId w:val="34"/>
              </w:numPr>
              <w:spacing w:before="80" w:line="276" w:lineRule="auto"/>
              <w:ind w:left="459" w:hanging="426"/>
              <w:jc w:val="both"/>
              <w:rPr>
                <w:rFonts w:ascii="Arial" w:hAnsi="Arial" w:cs="Arial"/>
                <w:b/>
                <w:sz w:val="20"/>
                <w:szCs w:val="20"/>
              </w:rPr>
            </w:pPr>
            <w:r w:rsidRPr="005251F3">
              <w:rPr>
                <w:rFonts w:ascii="Arial" w:hAnsi="Arial" w:cs="Arial"/>
                <w:b/>
                <w:sz w:val="20"/>
                <w:szCs w:val="20"/>
              </w:rPr>
              <w:t>VII.09 (Vertrag Entscheidungsunterlage-Bau)</w:t>
            </w:r>
          </w:p>
          <w:p w:rsidR="00EC6527" w:rsidRPr="005251F3" w:rsidRDefault="00EC6527" w:rsidP="00213FFD">
            <w:pPr>
              <w:pStyle w:val="Listenabsatz"/>
              <w:spacing w:line="276" w:lineRule="auto"/>
              <w:ind w:left="459" w:hanging="426"/>
              <w:jc w:val="both"/>
              <w:rPr>
                <w:rFonts w:ascii="Arial" w:hAnsi="Arial" w:cs="Arial"/>
                <w:b/>
                <w:sz w:val="20"/>
                <w:szCs w:val="20"/>
              </w:rPr>
            </w:pPr>
          </w:p>
          <w:p w:rsidR="00EC6527" w:rsidRPr="005251F3" w:rsidRDefault="005F0814" w:rsidP="00213FFD">
            <w:pPr>
              <w:pStyle w:val="Listenabsatz"/>
              <w:numPr>
                <w:ilvl w:val="0"/>
                <w:numId w:val="33"/>
              </w:numPr>
              <w:spacing w:line="276" w:lineRule="auto"/>
              <w:ind w:left="459" w:hanging="426"/>
              <w:jc w:val="both"/>
              <w:rPr>
                <w:rFonts w:ascii="Arial" w:hAnsi="Arial" w:cs="Arial"/>
                <w:b/>
                <w:sz w:val="20"/>
                <w:szCs w:val="20"/>
              </w:rPr>
            </w:pPr>
            <w:r w:rsidRPr="005251F3">
              <w:rPr>
                <w:rFonts w:ascii="Arial" w:hAnsi="Arial" w:cs="Arial"/>
                <w:b/>
                <w:sz w:val="20"/>
                <w:szCs w:val="20"/>
              </w:rPr>
              <w:t>VII.09.2</w:t>
            </w:r>
            <w:r w:rsidR="003B2715" w:rsidRPr="005251F3">
              <w:rPr>
                <w:rFonts w:ascii="Arial" w:hAnsi="Arial" w:cs="Arial"/>
                <w:b/>
                <w:sz w:val="20"/>
                <w:szCs w:val="20"/>
              </w:rPr>
              <w:t>.</w:t>
            </w:r>
            <w:r w:rsidRPr="005251F3">
              <w:rPr>
                <w:rFonts w:ascii="Arial" w:hAnsi="Arial" w:cs="Arial"/>
                <w:b/>
                <w:sz w:val="20"/>
                <w:szCs w:val="20"/>
              </w:rPr>
              <w:t>G (Leistungsumfang Gebäude und Innenräume</w:t>
            </w:r>
            <w:r w:rsidR="003B2715" w:rsidRPr="005251F3">
              <w:rPr>
                <w:rFonts w:ascii="Arial" w:hAnsi="Arial" w:cs="Arial"/>
                <w:b/>
                <w:sz w:val="20"/>
                <w:szCs w:val="20"/>
              </w:rPr>
              <w:t xml:space="preserve"> – ES-Bau</w:t>
            </w:r>
            <w:r w:rsidRPr="005251F3">
              <w:rPr>
                <w:rFonts w:ascii="Arial" w:hAnsi="Arial" w:cs="Arial"/>
                <w:b/>
                <w:sz w:val="20"/>
                <w:szCs w:val="20"/>
              </w:rPr>
              <w:t>)</w:t>
            </w:r>
          </w:p>
          <w:p w:rsidR="00EC6527" w:rsidRPr="005251F3" w:rsidRDefault="005F0814" w:rsidP="00213FFD">
            <w:pPr>
              <w:pStyle w:val="Listenabsatz"/>
              <w:numPr>
                <w:ilvl w:val="0"/>
                <w:numId w:val="33"/>
              </w:numPr>
              <w:spacing w:line="276" w:lineRule="auto"/>
              <w:ind w:left="459" w:hanging="426"/>
              <w:jc w:val="both"/>
              <w:rPr>
                <w:rFonts w:ascii="Arial" w:hAnsi="Arial" w:cs="Arial"/>
                <w:b/>
                <w:sz w:val="20"/>
                <w:szCs w:val="20"/>
              </w:rPr>
            </w:pPr>
            <w:r w:rsidRPr="005251F3">
              <w:rPr>
                <w:rFonts w:ascii="Arial" w:hAnsi="Arial" w:cs="Arial"/>
                <w:b/>
                <w:sz w:val="20"/>
                <w:szCs w:val="20"/>
              </w:rPr>
              <w:t>VII.09.2</w:t>
            </w:r>
            <w:r w:rsidR="003B2715" w:rsidRPr="005251F3">
              <w:rPr>
                <w:rFonts w:ascii="Arial" w:hAnsi="Arial" w:cs="Arial"/>
                <w:b/>
                <w:sz w:val="20"/>
                <w:szCs w:val="20"/>
              </w:rPr>
              <w:t>.</w:t>
            </w:r>
            <w:r w:rsidRPr="005251F3">
              <w:rPr>
                <w:rFonts w:ascii="Arial" w:hAnsi="Arial" w:cs="Arial"/>
                <w:b/>
                <w:sz w:val="20"/>
                <w:szCs w:val="20"/>
              </w:rPr>
              <w:t>Fa (Leistungsumfang Freianlagen</w:t>
            </w:r>
            <w:r w:rsidR="003B2715" w:rsidRPr="005251F3">
              <w:rPr>
                <w:rFonts w:ascii="Arial" w:hAnsi="Arial" w:cs="Arial"/>
                <w:b/>
                <w:sz w:val="20"/>
                <w:szCs w:val="20"/>
              </w:rPr>
              <w:t xml:space="preserve"> – ES-Bau</w:t>
            </w:r>
            <w:r w:rsidRPr="005251F3">
              <w:rPr>
                <w:rFonts w:ascii="Arial" w:hAnsi="Arial" w:cs="Arial"/>
                <w:b/>
                <w:sz w:val="20"/>
                <w:szCs w:val="20"/>
              </w:rPr>
              <w:t>)</w:t>
            </w:r>
          </w:p>
          <w:p w:rsidR="00EC6527" w:rsidRPr="005251F3" w:rsidRDefault="005F0814" w:rsidP="00213FFD">
            <w:pPr>
              <w:pStyle w:val="Listenabsatz"/>
              <w:numPr>
                <w:ilvl w:val="0"/>
                <w:numId w:val="33"/>
              </w:numPr>
              <w:spacing w:line="276" w:lineRule="auto"/>
              <w:ind w:left="459" w:hanging="426"/>
              <w:jc w:val="both"/>
              <w:rPr>
                <w:rFonts w:ascii="Arial" w:hAnsi="Arial" w:cs="Arial"/>
                <w:b/>
                <w:sz w:val="20"/>
                <w:szCs w:val="20"/>
              </w:rPr>
            </w:pPr>
            <w:r w:rsidRPr="005251F3">
              <w:rPr>
                <w:rFonts w:ascii="Arial" w:hAnsi="Arial" w:cs="Arial"/>
                <w:b/>
                <w:sz w:val="20"/>
                <w:szCs w:val="20"/>
              </w:rPr>
              <w:t>VII.09.2</w:t>
            </w:r>
            <w:r w:rsidR="003B2715" w:rsidRPr="005251F3">
              <w:rPr>
                <w:rFonts w:ascii="Arial" w:hAnsi="Arial" w:cs="Arial"/>
                <w:b/>
                <w:sz w:val="20"/>
                <w:szCs w:val="20"/>
              </w:rPr>
              <w:t>.</w:t>
            </w:r>
            <w:r w:rsidRPr="005251F3">
              <w:rPr>
                <w:rFonts w:ascii="Arial" w:hAnsi="Arial" w:cs="Arial"/>
                <w:b/>
                <w:sz w:val="20"/>
                <w:szCs w:val="20"/>
              </w:rPr>
              <w:t>Ibw (Leistungsumfang Ingenieurbauwerke</w:t>
            </w:r>
            <w:r w:rsidR="003B2715" w:rsidRPr="005251F3">
              <w:rPr>
                <w:rFonts w:ascii="Arial" w:hAnsi="Arial" w:cs="Arial"/>
                <w:b/>
                <w:sz w:val="20"/>
                <w:szCs w:val="20"/>
              </w:rPr>
              <w:t xml:space="preserve"> – ES-Bau</w:t>
            </w:r>
            <w:r w:rsidRPr="005251F3">
              <w:rPr>
                <w:rFonts w:ascii="Arial" w:hAnsi="Arial" w:cs="Arial"/>
                <w:b/>
                <w:sz w:val="20"/>
                <w:szCs w:val="20"/>
              </w:rPr>
              <w:t>)</w:t>
            </w:r>
          </w:p>
          <w:p w:rsidR="005F0814" w:rsidRPr="005251F3" w:rsidRDefault="005F0814" w:rsidP="00213FFD">
            <w:pPr>
              <w:pStyle w:val="Listenabsatz"/>
              <w:numPr>
                <w:ilvl w:val="0"/>
                <w:numId w:val="33"/>
              </w:numPr>
              <w:spacing w:line="276" w:lineRule="auto"/>
              <w:ind w:left="459" w:hanging="426"/>
              <w:jc w:val="both"/>
              <w:rPr>
                <w:rFonts w:ascii="Arial" w:hAnsi="Arial" w:cs="Arial"/>
                <w:b/>
                <w:sz w:val="20"/>
                <w:szCs w:val="20"/>
              </w:rPr>
            </w:pPr>
            <w:r w:rsidRPr="005251F3">
              <w:rPr>
                <w:rFonts w:ascii="Arial" w:hAnsi="Arial" w:cs="Arial"/>
                <w:b/>
                <w:sz w:val="20"/>
                <w:szCs w:val="20"/>
              </w:rPr>
              <w:t>VII.09.2</w:t>
            </w:r>
            <w:r w:rsidR="003B2715" w:rsidRPr="005251F3">
              <w:rPr>
                <w:rFonts w:ascii="Arial" w:hAnsi="Arial" w:cs="Arial"/>
                <w:b/>
                <w:sz w:val="20"/>
                <w:szCs w:val="20"/>
              </w:rPr>
              <w:t>.</w:t>
            </w:r>
            <w:r w:rsidRPr="005251F3">
              <w:rPr>
                <w:rFonts w:ascii="Arial" w:hAnsi="Arial" w:cs="Arial"/>
                <w:b/>
                <w:sz w:val="20"/>
                <w:szCs w:val="20"/>
              </w:rPr>
              <w:t>Va (Leistungsumfang Verkehrsanlagen</w:t>
            </w:r>
            <w:r w:rsidR="003B2715" w:rsidRPr="005251F3">
              <w:rPr>
                <w:rFonts w:ascii="Arial" w:hAnsi="Arial" w:cs="Arial"/>
                <w:b/>
                <w:sz w:val="20"/>
                <w:szCs w:val="20"/>
              </w:rPr>
              <w:t xml:space="preserve"> – ES-Bau</w:t>
            </w:r>
            <w:r w:rsidRPr="005251F3">
              <w:rPr>
                <w:rFonts w:ascii="Arial" w:hAnsi="Arial" w:cs="Arial"/>
                <w:b/>
                <w:sz w:val="20"/>
                <w:szCs w:val="20"/>
              </w:rPr>
              <w:t>)</w:t>
            </w:r>
          </w:p>
          <w:p w:rsidR="003B2715" w:rsidRPr="005251F3" w:rsidRDefault="005F0814" w:rsidP="00213FFD">
            <w:pPr>
              <w:pStyle w:val="Listenabsatz"/>
              <w:numPr>
                <w:ilvl w:val="0"/>
                <w:numId w:val="33"/>
              </w:numPr>
              <w:spacing w:line="276" w:lineRule="auto"/>
              <w:ind w:left="459" w:hanging="426"/>
              <w:jc w:val="both"/>
              <w:rPr>
                <w:rFonts w:ascii="Arial" w:hAnsi="Arial" w:cs="Arial"/>
                <w:b/>
                <w:sz w:val="20"/>
                <w:szCs w:val="20"/>
              </w:rPr>
            </w:pPr>
            <w:r w:rsidRPr="005251F3">
              <w:rPr>
                <w:rFonts w:ascii="Arial" w:hAnsi="Arial" w:cs="Arial"/>
                <w:b/>
                <w:sz w:val="20"/>
                <w:szCs w:val="20"/>
              </w:rPr>
              <w:t>VII.09.2</w:t>
            </w:r>
            <w:r w:rsidR="003B2715" w:rsidRPr="005251F3">
              <w:rPr>
                <w:rFonts w:ascii="Arial" w:hAnsi="Arial" w:cs="Arial"/>
                <w:b/>
                <w:sz w:val="20"/>
                <w:szCs w:val="20"/>
              </w:rPr>
              <w:t>.</w:t>
            </w:r>
            <w:r w:rsidRPr="005251F3">
              <w:rPr>
                <w:rFonts w:ascii="Arial" w:hAnsi="Arial" w:cs="Arial"/>
                <w:b/>
                <w:sz w:val="20"/>
                <w:szCs w:val="20"/>
              </w:rPr>
              <w:t>TA (Leistungsumfang Technische A</w:t>
            </w:r>
            <w:r w:rsidR="001674F0" w:rsidRPr="005251F3">
              <w:rPr>
                <w:rFonts w:ascii="Arial" w:hAnsi="Arial" w:cs="Arial"/>
                <w:b/>
                <w:sz w:val="20"/>
                <w:szCs w:val="20"/>
              </w:rPr>
              <w:t>usrüstung</w:t>
            </w:r>
            <w:r w:rsidR="003B2715" w:rsidRPr="005251F3">
              <w:rPr>
                <w:rFonts w:ascii="Arial" w:hAnsi="Arial" w:cs="Arial"/>
                <w:b/>
                <w:sz w:val="20"/>
                <w:szCs w:val="20"/>
              </w:rPr>
              <w:t xml:space="preserve"> – ES-Bau)</w:t>
            </w:r>
          </w:p>
          <w:p w:rsidR="00EC6527" w:rsidRPr="005251F3" w:rsidRDefault="00EC6527" w:rsidP="00EC6527">
            <w:pPr>
              <w:spacing w:line="276" w:lineRule="auto"/>
              <w:jc w:val="both"/>
              <w:rPr>
                <w:rFonts w:ascii="Arial" w:hAnsi="Arial" w:cs="Arial"/>
                <w:b/>
                <w:sz w:val="20"/>
                <w:szCs w:val="20"/>
              </w:rPr>
            </w:pPr>
          </w:p>
          <w:p w:rsidR="005F0814" w:rsidRPr="005251F3" w:rsidRDefault="00EC6527" w:rsidP="00EC6527">
            <w:pPr>
              <w:spacing w:line="276" w:lineRule="auto"/>
              <w:jc w:val="both"/>
              <w:rPr>
                <w:rFonts w:ascii="Arial" w:hAnsi="Arial" w:cs="Arial"/>
                <w:b/>
                <w:sz w:val="20"/>
                <w:szCs w:val="20"/>
              </w:rPr>
            </w:pPr>
            <w:r w:rsidRPr="005251F3">
              <w:rPr>
                <w:rFonts w:ascii="Arial" w:hAnsi="Arial" w:cs="Arial"/>
                <w:b/>
                <w:sz w:val="20"/>
                <w:szCs w:val="20"/>
              </w:rPr>
              <w:t xml:space="preserve">und zur </w:t>
            </w:r>
            <w:r w:rsidR="005F0814" w:rsidRPr="005251F3">
              <w:rPr>
                <w:rFonts w:ascii="Arial" w:hAnsi="Arial" w:cs="Arial"/>
                <w:b/>
                <w:sz w:val="20"/>
                <w:szCs w:val="20"/>
              </w:rPr>
              <w:t>Anwendung der Anlage VI.1 (AVB)</w:t>
            </w:r>
          </w:p>
        </w:tc>
      </w:tr>
      <w:tr w:rsidR="00AB4F08" w:rsidRPr="005251F3" w:rsidTr="00061E91">
        <w:trPr>
          <w:cantSplit/>
        </w:trPr>
        <w:tc>
          <w:tcPr>
            <w:tcW w:w="1668" w:type="dxa"/>
            <w:shd w:val="clear" w:color="auto" w:fill="auto"/>
          </w:tcPr>
          <w:p w:rsidR="00AB4F08" w:rsidRPr="005251F3" w:rsidRDefault="00AB4F08" w:rsidP="00EC6527">
            <w:pPr>
              <w:spacing w:line="276" w:lineRule="auto"/>
              <w:rPr>
                <w:rFonts w:ascii="Arial" w:hAnsi="Arial" w:cs="Arial"/>
                <w:sz w:val="20"/>
                <w:szCs w:val="20"/>
              </w:rPr>
            </w:pPr>
          </w:p>
        </w:tc>
        <w:tc>
          <w:tcPr>
            <w:tcW w:w="7546" w:type="dxa"/>
            <w:gridSpan w:val="3"/>
            <w:shd w:val="clear" w:color="auto" w:fill="auto"/>
          </w:tcPr>
          <w:p w:rsidR="00AB4F08" w:rsidRPr="005251F3" w:rsidRDefault="00AB4F08" w:rsidP="00213FFD">
            <w:pPr>
              <w:spacing w:before="80" w:line="276" w:lineRule="auto"/>
              <w:jc w:val="both"/>
              <w:rPr>
                <w:rFonts w:ascii="Arial" w:hAnsi="Arial" w:cs="Arial"/>
                <w:b/>
                <w:sz w:val="20"/>
                <w:szCs w:val="20"/>
              </w:rPr>
            </w:pPr>
          </w:p>
        </w:tc>
      </w:tr>
      <w:tr w:rsidR="002716E6" w:rsidRPr="005251F3" w:rsidTr="00061E91">
        <w:trPr>
          <w:cantSplit/>
        </w:trPr>
        <w:tc>
          <w:tcPr>
            <w:tcW w:w="1668" w:type="dxa"/>
            <w:shd w:val="clear" w:color="auto" w:fill="auto"/>
          </w:tcPr>
          <w:p w:rsidR="002716E6" w:rsidRPr="005251F3" w:rsidRDefault="002716E6" w:rsidP="00EC6527">
            <w:pPr>
              <w:spacing w:before="80" w:line="276" w:lineRule="auto"/>
              <w:rPr>
                <w:rFonts w:ascii="Arial" w:hAnsi="Arial" w:cs="Arial"/>
                <w:sz w:val="20"/>
                <w:szCs w:val="20"/>
              </w:rPr>
            </w:pPr>
          </w:p>
        </w:tc>
        <w:tc>
          <w:tcPr>
            <w:tcW w:w="7546" w:type="dxa"/>
            <w:gridSpan w:val="3"/>
            <w:shd w:val="clear" w:color="auto" w:fill="auto"/>
          </w:tcPr>
          <w:p w:rsidR="00972FDD" w:rsidRPr="005251F3" w:rsidRDefault="00972FDD" w:rsidP="00EC6527">
            <w:pPr>
              <w:spacing w:before="80" w:line="276" w:lineRule="auto"/>
              <w:jc w:val="both"/>
              <w:rPr>
                <w:rFonts w:ascii="Arial" w:hAnsi="Arial" w:cs="Arial"/>
                <w:sz w:val="20"/>
                <w:szCs w:val="20"/>
              </w:rPr>
            </w:pPr>
            <w:r w:rsidRPr="005251F3">
              <w:rPr>
                <w:rFonts w:ascii="Arial" w:hAnsi="Arial" w:cs="Arial"/>
                <w:b/>
                <w:sz w:val="20"/>
                <w:szCs w:val="20"/>
              </w:rPr>
              <w:t>Vorbemerkungen</w:t>
            </w:r>
          </w:p>
          <w:p w:rsidR="006567F6" w:rsidRPr="005251F3" w:rsidRDefault="006567F6" w:rsidP="00EC6527">
            <w:pPr>
              <w:spacing w:before="80" w:line="276" w:lineRule="auto"/>
              <w:jc w:val="both"/>
              <w:rPr>
                <w:rFonts w:ascii="Arial" w:hAnsi="Arial" w:cs="Arial"/>
                <w:sz w:val="20"/>
                <w:szCs w:val="20"/>
              </w:rPr>
            </w:pPr>
            <w:r w:rsidRPr="005251F3">
              <w:rPr>
                <w:rFonts w:ascii="Arial" w:hAnsi="Arial" w:cs="Arial"/>
                <w:sz w:val="20"/>
                <w:szCs w:val="20"/>
              </w:rPr>
              <w:t>Die Vergabe freiberuflicher Leistungen hat nach Abschnitt</w:t>
            </w:r>
            <w:r w:rsidR="00213FFD" w:rsidRPr="005251F3">
              <w:rPr>
                <w:rFonts w:ascii="Arial" w:hAnsi="Arial" w:cs="Arial"/>
                <w:sz w:val="20"/>
                <w:szCs w:val="20"/>
              </w:rPr>
              <w:t xml:space="preserve"> </w:t>
            </w:r>
            <w:r w:rsidRPr="005251F3">
              <w:rPr>
                <w:rFonts w:ascii="Arial" w:hAnsi="Arial" w:cs="Arial"/>
                <w:sz w:val="20"/>
                <w:szCs w:val="20"/>
              </w:rPr>
              <w:t>K12</w:t>
            </w:r>
            <w:r w:rsidR="00936C7E" w:rsidRPr="005251F3">
              <w:rPr>
                <w:rFonts w:ascii="Arial" w:hAnsi="Arial" w:cs="Arial"/>
                <w:sz w:val="20"/>
                <w:szCs w:val="20"/>
              </w:rPr>
              <w:t xml:space="preserve"> </w:t>
            </w:r>
            <w:r w:rsidRPr="005251F3">
              <w:rPr>
                <w:rFonts w:ascii="Arial" w:hAnsi="Arial" w:cs="Arial"/>
                <w:sz w:val="20"/>
                <w:szCs w:val="20"/>
              </w:rPr>
              <w:t xml:space="preserve">RBBau </w:t>
            </w:r>
            <w:r w:rsidR="00577EE6" w:rsidRPr="005251F3">
              <w:rPr>
                <w:rFonts w:ascii="Arial" w:hAnsi="Arial" w:cs="Arial"/>
                <w:sz w:val="20"/>
                <w:szCs w:val="20"/>
              </w:rPr>
              <w:t xml:space="preserve">und </w:t>
            </w:r>
            <w:r w:rsidR="003B2715" w:rsidRPr="005251F3">
              <w:rPr>
                <w:rFonts w:ascii="Arial" w:hAnsi="Arial" w:cs="Arial"/>
                <w:sz w:val="20"/>
                <w:szCs w:val="20"/>
              </w:rPr>
              <w:t xml:space="preserve">den Vorgaben </w:t>
            </w:r>
            <w:r w:rsidR="00577EE6" w:rsidRPr="005251F3">
              <w:rPr>
                <w:rFonts w:ascii="Arial" w:hAnsi="Arial" w:cs="Arial"/>
                <w:sz w:val="20"/>
                <w:szCs w:val="20"/>
              </w:rPr>
              <w:t>des VHF</w:t>
            </w:r>
            <w:r w:rsidR="005412E5" w:rsidRPr="005251F3">
              <w:rPr>
                <w:rFonts w:ascii="Arial" w:hAnsi="Arial" w:cs="Arial"/>
                <w:sz w:val="20"/>
                <w:szCs w:val="20"/>
              </w:rPr>
              <w:t xml:space="preserve"> Bayern</w:t>
            </w:r>
            <w:r w:rsidR="00577EE6" w:rsidRPr="005251F3">
              <w:rPr>
                <w:rFonts w:ascii="Arial" w:hAnsi="Arial" w:cs="Arial"/>
                <w:sz w:val="20"/>
                <w:szCs w:val="20"/>
              </w:rPr>
              <w:t xml:space="preserve"> </w:t>
            </w:r>
            <w:r w:rsidRPr="005251F3">
              <w:rPr>
                <w:rFonts w:ascii="Arial" w:hAnsi="Arial" w:cs="Arial"/>
                <w:sz w:val="20"/>
                <w:szCs w:val="20"/>
              </w:rPr>
              <w:t>zu erfolgen.</w:t>
            </w:r>
          </w:p>
          <w:p w:rsidR="00EF3521" w:rsidRPr="005251F3" w:rsidRDefault="00EF3521" w:rsidP="00EC6527">
            <w:pPr>
              <w:spacing w:before="80" w:line="276" w:lineRule="auto"/>
              <w:jc w:val="both"/>
              <w:rPr>
                <w:rFonts w:ascii="Arial" w:hAnsi="Arial" w:cs="Arial"/>
                <w:sz w:val="20"/>
                <w:szCs w:val="20"/>
              </w:rPr>
            </w:pPr>
            <w:r w:rsidRPr="005251F3">
              <w:rPr>
                <w:rFonts w:ascii="Arial" w:hAnsi="Arial" w:cs="Arial"/>
                <w:sz w:val="20"/>
                <w:szCs w:val="20"/>
              </w:rPr>
              <w:t>D</w:t>
            </w:r>
            <w:r w:rsidR="0061642F" w:rsidRPr="005251F3">
              <w:rPr>
                <w:rFonts w:ascii="Arial" w:hAnsi="Arial" w:cs="Arial"/>
                <w:sz w:val="20"/>
                <w:szCs w:val="20"/>
              </w:rPr>
              <w:t>ie Entscheidungsunterlage-</w:t>
            </w:r>
            <w:r w:rsidRPr="005251F3">
              <w:rPr>
                <w:rFonts w:ascii="Arial" w:hAnsi="Arial" w:cs="Arial"/>
                <w:sz w:val="20"/>
                <w:szCs w:val="20"/>
              </w:rPr>
              <w:t xml:space="preserve">Bau ist grundsätzlich vom </w:t>
            </w:r>
            <w:r w:rsidR="00603F4B" w:rsidRPr="005251F3">
              <w:rPr>
                <w:rFonts w:ascii="Arial" w:hAnsi="Arial" w:cs="Arial"/>
                <w:sz w:val="20"/>
                <w:szCs w:val="20"/>
              </w:rPr>
              <w:t>Maßnahmenträger</w:t>
            </w:r>
            <w:r w:rsidRPr="005251F3">
              <w:rPr>
                <w:rFonts w:ascii="Arial" w:hAnsi="Arial" w:cs="Arial"/>
                <w:sz w:val="20"/>
                <w:szCs w:val="20"/>
              </w:rPr>
              <w:t xml:space="preserve"> unter fachlicher Beratung der Bauverwaltung aufzustellen (Abschnitte</w:t>
            </w:r>
            <w:r w:rsidR="00936C7E" w:rsidRPr="005251F3">
              <w:rPr>
                <w:rFonts w:ascii="Arial" w:hAnsi="Arial" w:cs="Arial"/>
                <w:sz w:val="20"/>
                <w:szCs w:val="20"/>
              </w:rPr>
              <w:t xml:space="preserve"> </w:t>
            </w:r>
            <w:r w:rsidRPr="005251F3">
              <w:rPr>
                <w:rFonts w:ascii="Arial" w:hAnsi="Arial" w:cs="Arial"/>
                <w:sz w:val="20"/>
                <w:szCs w:val="20"/>
              </w:rPr>
              <w:t>E2 und F1</w:t>
            </w:r>
            <w:r w:rsidR="00936C7E" w:rsidRPr="005251F3">
              <w:rPr>
                <w:rFonts w:ascii="Arial" w:hAnsi="Arial" w:cs="Arial"/>
                <w:sz w:val="20"/>
                <w:szCs w:val="20"/>
              </w:rPr>
              <w:t xml:space="preserve"> </w:t>
            </w:r>
            <w:r w:rsidRPr="005251F3">
              <w:rPr>
                <w:rFonts w:ascii="Arial" w:hAnsi="Arial" w:cs="Arial"/>
                <w:sz w:val="20"/>
                <w:szCs w:val="20"/>
              </w:rPr>
              <w:t>RBBau)</w:t>
            </w:r>
            <w:r w:rsidR="00936C7E" w:rsidRPr="005251F3">
              <w:rPr>
                <w:rFonts w:ascii="Arial" w:hAnsi="Arial" w:cs="Arial"/>
                <w:sz w:val="20"/>
                <w:szCs w:val="20"/>
              </w:rPr>
              <w:t>.</w:t>
            </w:r>
          </w:p>
          <w:p w:rsidR="002E7516" w:rsidRPr="005251F3" w:rsidRDefault="002553A3" w:rsidP="00EC6527">
            <w:pPr>
              <w:spacing w:before="80" w:line="276" w:lineRule="auto"/>
              <w:jc w:val="both"/>
              <w:rPr>
                <w:rFonts w:ascii="Arial" w:hAnsi="Arial" w:cs="Arial"/>
                <w:sz w:val="20"/>
                <w:szCs w:val="20"/>
              </w:rPr>
            </w:pPr>
            <w:r w:rsidRPr="005251F3">
              <w:rPr>
                <w:rFonts w:ascii="Arial" w:hAnsi="Arial" w:cs="Arial"/>
                <w:sz w:val="20"/>
                <w:szCs w:val="20"/>
              </w:rPr>
              <w:t>Soweit im Vertrag</w:t>
            </w:r>
            <w:r w:rsidR="006567F6" w:rsidRPr="005251F3">
              <w:rPr>
                <w:rFonts w:ascii="Arial" w:hAnsi="Arial" w:cs="Arial"/>
                <w:sz w:val="20"/>
                <w:szCs w:val="20"/>
              </w:rPr>
              <w:t xml:space="preserve"> und in den Anlagen Festlegungen zu treffen sind, sind in den dazu vorgesehenen Feldern Ankreuzungen vorzunehmen und bei Leer</w:t>
            </w:r>
            <w:r w:rsidR="00740B98" w:rsidRPr="005251F3">
              <w:rPr>
                <w:rFonts w:ascii="Arial" w:hAnsi="Arial" w:cs="Arial"/>
                <w:sz w:val="20"/>
                <w:szCs w:val="20"/>
              </w:rPr>
              <w:t>feldern bzw. Leer</w:t>
            </w:r>
            <w:r w:rsidR="006567F6" w:rsidRPr="005251F3">
              <w:rPr>
                <w:rFonts w:ascii="Arial" w:hAnsi="Arial" w:cs="Arial"/>
                <w:sz w:val="20"/>
                <w:szCs w:val="20"/>
              </w:rPr>
              <w:t>zeilen entsprechende Eintragungen zu machen.</w:t>
            </w:r>
          </w:p>
        </w:tc>
      </w:tr>
      <w:tr w:rsidR="00AB4F08" w:rsidRPr="005251F3" w:rsidTr="00061E91">
        <w:trPr>
          <w:cantSplit/>
        </w:trPr>
        <w:tc>
          <w:tcPr>
            <w:tcW w:w="1668" w:type="dxa"/>
            <w:shd w:val="clear" w:color="auto" w:fill="auto"/>
          </w:tcPr>
          <w:p w:rsidR="00AB4F08" w:rsidRPr="005251F3" w:rsidRDefault="00AB4F08" w:rsidP="00EC6527">
            <w:pPr>
              <w:spacing w:before="80" w:line="276" w:lineRule="auto"/>
              <w:rPr>
                <w:rFonts w:ascii="Arial" w:hAnsi="Arial" w:cs="Arial"/>
                <w:sz w:val="20"/>
                <w:szCs w:val="20"/>
              </w:rPr>
            </w:pPr>
          </w:p>
        </w:tc>
        <w:tc>
          <w:tcPr>
            <w:tcW w:w="7546" w:type="dxa"/>
            <w:gridSpan w:val="3"/>
            <w:shd w:val="clear" w:color="auto" w:fill="auto"/>
          </w:tcPr>
          <w:p w:rsidR="00AB4F08" w:rsidRPr="005251F3" w:rsidRDefault="00AB4F08" w:rsidP="00EC6527">
            <w:pPr>
              <w:spacing w:before="80" w:line="276" w:lineRule="auto"/>
              <w:jc w:val="both"/>
              <w:rPr>
                <w:rFonts w:ascii="Arial" w:hAnsi="Arial" w:cs="Arial"/>
                <w:b/>
                <w:sz w:val="20"/>
                <w:szCs w:val="20"/>
              </w:rPr>
            </w:pPr>
          </w:p>
        </w:tc>
      </w:tr>
      <w:tr w:rsidR="002716E6" w:rsidRPr="005251F3" w:rsidTr="00061E91">
        <w:trPr>
          <w:cantSplit/>
          <w:trHeight w:val="2386"/>
        </w:trPr>
        <w:tc>
          <w:tcPr>
            <w:tcW w:w="1668" w:type="dxa"/>
            <w:shd w:val="clear" w:color="auto" w:fill="auto"/>
          </w:tcPr>
          <w:p w:rsidR="002716E6" w:rsidRPr="005251F3" w:rsidRDefault="002716E6" w:rsidP="00EC6527">
            <w:pPr>
              <w:spacing w:before="80" w:line="276" w:lineRule="auto"/>
              <w:rPr>
                <w:rFonts w:ascii="Arial" w:hAnsi="Arial" w:cs="Arial"/>
                <w:sz w:val="20"/>
                <w:szCs w:val="20"/>
              </w:rPr>
            </w:pPr>
          </w:p>
        </w:tc>
        <w:tc>
          <w:tcPr>
            <w:tcW w:w="7546" w:type="dxa"/>
            <w:gridSpan w:val="3"/>
            <w:shd w:val="clear" w:color="auto" w:fill="auto"/>
          </w:tcPr>
          <w:p w:rsidR="00972FDD" w:rsidRPr="005251F3" w:rsidRDefault="00972FDD" w:rsidP="00EC6527">
            <w:pPr>
              <w:spacing w:before="80" w:line="276" w:lineRule="auto"/>
              <w:jc w:val="both"/>
              <w:rPr>
                <w:rFonts w:ascii="Arial" w:hAnsi="Arial" w:cs="Arial"/>
                <w:sz w:val="20"/>
                <w:szCs w:val="20"/>
              </w:rPr>
            </w:pPr>
            <w:r w:rsidRPr="005251F3">
              <w:rPr>
                <w:rFonts w:ascii="Arial" w:hAnsi="Arial" w:cs="Arial"/>
                <w:b/>
                <w:sz w:val="20"/>
                <w:szCs w:val="20"/>
              </w:rPr>
              <w:t>Vertragsabschluss</w:t>
            </w:r>
          </w:p>
          <w:p w:rsidR="00727028" w:rsidRPr="005251F3" w:rsidRDefault="00727028" w:rsidP="00EC6527">
            <w:pPr>
              <w:spacing w:before="80" w:line="276" w:lineRule="auto"/>
              <w:jc w:val="both"/>
              <w:rPr>
                <w:rFonts w:ascii="Arial" w:hAnsi="Arial" w:cs="Arial"/>
                <w:sz w:val="20"/>
                <w:szCs w:val="20"/>
              </w:rPr>
            </w:pPr>
            <w:r w:rsidRPr="005251F3">
              <w:rPr>
                <w:rFonts w:ascii="Arial" w:hAnsi="Arial" w:cs="Arial"/>
                <w:sz w:val="20"/>
                <w:szCs w:val="20"/>
              </w:rPr>
              <w:t xml:space="preserve">Kostenverpflichtungen für die Erstellung der Entscheidungsunterlage – Bau dürfen nur insoweit eingegangen werden, wie dies zur Aufstellung der </w:t>
            </w:r>
            <w:r w:rsidR="00603F4B" w:rsidRPr="005251F3">
              <w:rPr>
                <w:rFonts w:ascii="Arial" w:hAnsi="Arial" w:cs="Arial"/>
                <w:sz w:val="20"/>
                <w:szCs w:val="20"/>
              </w:rPr>
              <w:t>Bauunterlage</w:t>
            </w:r>
            <w:r w:rsidR="00131FA2" w:rsidRPr="005251F3">
              <w:rPr>
                <w:rFonts w:ascii="Arial" w:hAnsi="Arial" w:cs="Arial"/>
                <w:sz w:val="20"/>
                <w:szCs w:val="20"/>
              </w:rPr>
              <w:t xml:space="preserve"> </w:t>
            </w:r>
            <w:r w:rsidRPr="005251F3">
              <w:rPr>
                <w:rFonts w:ascii="Arial" w:hAnsi="Arial" w:cs="Arial"/>
                <w:sz w:val="20"/>
                <w:szCs w:val="20"/>
              </w:rPr>
              <w:t>notwendig ist.</w:t>
            </w:r>
          </w:p>
          <w:p w:rsidR="006567F6" w:rsidRPr="005251F3" w:rsidRDefault="006567F6" w:rsidP="00EC6527">
            <w:pPr>
              <w:spacing w:before="80" w:line="276" w:lineRule="auto"/>
              <w:jc w:val="both"/>
              <w:rPr>
                <w:rFonts w:ascii="Arial" w:hAnsi="Arial" w:cs="Arial"/>
                <w:sz w:val="20"/>
                <w:szCs w:val="20"/>
              </w:rPr>
            </w:pPr>
            <w:r w:rsidRPr="005251F3">
              <w:rPr>
                <w:rFonts w:ascii="Arial" w:hAnsi="Arial" w:cs="Arial"/>
                <w:sz w:val="20"/>
                <w:szCs w:val="20"/>
              </w:rPr>
              <w:t>Wenn dazu ein freiberuflich tätiger Architekt/Ingenieur eingeschaltet wer</w:t>
            </w:r>
            <w:r w:rsidR="002553A3" w:rsidRPr="005251F3">
              <w:rPr>
                <w:rFonts w:ascii="Arial" w:hAnsi="Arial" w:cs="Arial"/>
                <w:sz w:val="20"/>
                <w:szCs w:val="20"/>
              </w:rPr>
              <w:t xml:space="preserve">den soll, ist </w:t>
            </w:r>
            <w:r w:rsidR="00603F4B" w:rsidRPr="005251F3">
              <w:rPr>
                <w:rFonts w:ascii="Arial" w:hAnsi="Arial" w:cs="Arial"/>
                <w:sz w:val="20"/>
                <w:szCs w:val="20"/>
              </w:rPr>
              <w:t>mit ihm ein Vertrag unter Beachtung von K12</w:t>
            </w:r>
            <w:r w:rsidR="00936C7E" w:rsidRPr="005251F3">
              <w:rPr>
                <w:rFonts w:ascii="Arial" w:hAnsi="Arial" w:cs="Arial"/>
                <w:sz w:val="20"/>
                <w:szCs w:val="20"/>
              </w:rPr>
              <w:t xml:space="preserve"> </w:t>
            </w:r>
            <w:r w:rsidR="00603F4B" w:rsidRPr="005251F3">
              <w:rPr>
                <w:rFonts w:ascii="Arial" w:hAnsi="Arial" w:cs="Arial"/>
                <w:sz w:val="20"/>
                <w:szCs w:val="20"/>
              </w:rPr>
              <w:t>RBBau abzuschließen.</w:t>
            </w:r>
            <w:r w:rsidRPr="005251F3">
              <w:rPr>
                <w:rFonts w:ascii="Arial" w:hAnsi="Arial" w:cs="Arial"/>
                <w:sz w:val="20"/>
                <w:szCs w:val="20"/>
              </w:rPr>
              <w:t xml:space="preserve"> Dem freiberuflich Tätigen sind mit dem Vertragsentwurf eine Ausfertigung der Allgemeinen Vertragsbestimmungen (AVB), die Anlage</w:t>
            </w:r>
            <w:r w:rsidR="00765371" w:rsidRPr="005251F3">
              <w:rPr>
                <w:rFonts w:ascii="Arial" w:hAnsi="Arial" w:cs="Arial"/>
                <w:sz w:val="20"/>
                <w:szCs w:val="20"/>
              </w:rPr>
              <w:t>n</w:t>
            </w:r>
            <w:r w:rsidRPr="005251F3">
              <w:rPr>
                <w:rFonts w:ascii="Arial" w:hAnsi="Arial" w:cs="Arial"/>
                <w:sz w:val="20"/>
                <w:szCs w:val="20"/>
              </w:rPr>
              <w:t xml:space="preserve"> zu §</w:t>
            </w:r>
            <w:r w:rsidR="00EC6527" w:rsidRPr="005251F3">
              <w:rPr>
                <w:rFonts w:ascii="Arial" w:hAnsi="Arial" w:cs="Arial"/>
                <w:sz w:val="20"/>
                <w:szCs w:val="20"/>
              </w:rPr>
              <w:t> </w:t>
            </w:r>
            <w:r w:rsidRPr="005251F3">
              <w:rPr>
                <w:rFonts w:ascii="Arial" w:hAnsi="Arial" w:cs="Arial"/>
                <w:sz w:val="20"/>
                <w:szCs w:val="20"/>
              </w:rPr>
              <w:t xml:space="preserve">6 </w:t>
            </w:r>
            <w:r w:rsidR="00603F4B" w:rsidRPr="005251F3">
              <w:rPr>
                <w:rFonts w:ascii="Arial" w:hAnsi="Arial" w:cs="Arial"/>
                <w:sz w:val="20"/>
                <w:szCs w:val="20"/>
              </w:rPr>
              <w:t xml:space="preserve">und </w:t>
            </w:r>
            <w:r w:rsidR="00444F54" w:rsidRPr="005251F3">
              <w:rPr>
                <w:rFonts w:ascii="Arial" w:hAnsi="Arial" w:cs="Arial"/>
                <w:sz w:val="20"/>
                <w:szCs w:val="20"/>
              </w:rPr>
              <w:t>§</w:t>
            </w:r>
            <w:r w:rsidR="00EC6527" w:rsidRPr="005251F3">
              <w:rPr>
                <w:rFonts w:ascii="Arial" w:hAnsi="Arial" w:cs="Arial"/>
                <w:sz w:val="20"/>
                <w:szCs w:val="20"/>
              </w:rPr>
              <w:t> </w:t>
            </w:r>
            <w:r w:rsidR="00765371" w:rsidRPr="005251F3">
              <w:rPr>
                <w:rFonts w:ascii="Arial" w:hAnsi="Arial" w:cs="Arial"/>
                <w:sz w:val="20"/>
                <w:szCs w:val="20"/>
              </w:rPr>
              <w:t>10</w:t>
            </w:r>
            <w:r w:rsidRPr="005251F3">
              <w:rPr>
                <w:rFonts w:ascii="Arial" w:hAnsi="Arial" w:cs="Arial"/>
                <w:sz w:val="20"/>
                <w:szCs w:val="20"/>
              </w:rPr>
              <w:t xml:space="preserve"> und weitere für die Vertragserfüllung notwendige Unterlagen zu übergeben. </w:t>
            </w:r>
          </w:p>
          <w:p w:rsidR="00577EE6" w:rsidRPr="005251F3" w:rsidRDefault="00981A45" w:rsidP="00EC6527">
            <w:pPr>
              <w:spacing w:before="80" w:line="276" w:lineRule="auto"/>
              <w:jc w:val="both"/>
              <w:rPr>
                <w:rFonts w:ascii="Arial" w:hAnsi="Arial" w:cs="Arial"/>
                <w:sz w:val="20"/>
                <w:szCs w:val="20"/>
              </w:rPr>
            </w:pPr>
            <w:r w:rsidRPr="005251F3">
              <w:rPr>
                <w:rFonts w:ascii="Arial" w:hAnsi="Arial" w:cs="Arial"/>
                <w:sz w:val="20"/>
                <w:szCs w:val="20"/>
              </w:rPr>
              <w:t>Soweit der</w:t>
            </w:r>
            <w:r w:rsidR="00577EE6" w:rsidRPr="005251F3">
              <w:rPr>
                <w:rFonts w:ascii="Arial" w:hAnsi="Arial" w:cs="Arial"/>
                <w:sz w:val="20"/>
                <w:szCs w:val="20"/>
              </w:rPr>
              <w:t xml:space="preserve"> Auftragnehmer </w:t>
            </w:r>
            <w:r w:rsidRPr="005251F3">
              <w:rPr>
                <w:rFonts w:ascii="Arial" w:hAnsi="Arial" w:cs="Arial"/>
                <w:sz w:val="20"/>
                <w:szCs w:val="20"/>
              </w:rPr>
              <w:t xml:space="preserve">verpflichtet werden soll, </w:t>
            </w:r>
            <w:r w:rsidR="00577EE6" w:rsidRPr="005251F3">
              <w:rPr>
                <w:rFonts w:ascii="Arial" w:hAnsi="Arial" w:cs="Arial"/>
                <w:sz w:val="20"/>
                <w:szCs w:val="20"/>
              </w:rPr>
              <w:t>eine Verpflichtungserklärung ab</w:t>
            </w:r>
            <w:r w:rsidRPr="005251F3">
              <w:rPr>
                <w:rFonts w:ascii="Arial" w:hAnsi="Arial" w:cs="Arial"/>
                <w:sz w:val="20"/>
                <w:szCs w:val="20"/>
              </w:rPr>
              <w:t>zu</w:t>
            </w:r>
            <w:r w:rsidR="00577EE6" w:rsidRPr="005251F3">
              <w:rPr>
                <w:rFonts w:ascii="Arial" w:hAnsi="Arial" w:cs="Arial"/>
                <w:sz w:val="20"/>
                <w:szCs w:val="20"/>
              </w:rPr>
              <w:t>geben</w:t>
            </w:r>
            <w:r w:rsidRPr="005251F3">
              <w:rPr>
                <w:rFonts w:ascii="Arial" w:hAnsi="Arial" w:cs="Arial"/>
                <w:sz w:val="20"/>
                <w:szCs w:val="20"/>
              </w:rPr>
              <w:t xml:space="preserve">, </w:t>
            </w:r>
            <w:r w:rsidR="00577EE6" w:rsidRPr="005251F3">
              <w:rPr>
                <w:rFonts w:ascii="Arial" w:hAnsi="Arial" w:cs="Arial"/>
                <w:sz w:val="20"/>
                <w:szCs w:val="20"/>
              </w:rPr>
              <w:t>ist das Muster „Verpflichtungserklärung“ (VI.11</w:t>
            </w:r>
            <w:r w:rsidR="00936C7E" w:rsidRPr="005251F3">
              <w:rPr>
                <w:rFonts w:ascii="Arial" w:hAnsi="Arial" w:cs="Arial"/>
                <w:sz w:val="20"/>
                <w:szCs w:val="20"/>
              </w:rPr>
              <w:t xml:space="preserve"> </w:t>
            </w:r>
            <w:r w:rsidR="00577EE6" w:rsidRPr="005251F3">
              <w:rPr>
                <w:rFonts w:ascii="Arial" w:hAnsi="Arial" w:cs="Arial"/>
                <w:sz w:val="20"/>
                <w:szCs w:val="20"/>
              </w:rPr>
              <w:t>VHF) dem Vertrag schon im Entwurf beizufügen und als Anlage zu §</w:t>
            </w:r>
            <w:r w:rsidR="00EC6527" w:rsidRPr="005251F3">
              <w:rPr>
                <w:rFonts w:ascii="Arial" w:hAnsi="Arial" w:cs="Arial"/>
                <w:sz w:val="20"/>
                <w:szCs w:val="20"/>
              </w:rPr>
              <w:t> </w:t>
            </w:r>
            <w:r w:rsidR="00577EE6" w:rsidRPr="005251F3">
              <w:rPr>
                <w:rFonts w:ascii="Arial" w:hAnsi="Arial" w:cs="Arial"/>
                <w:sz w:val="20"/>
                <w:szCs w:val="20"/>
              </w:rPr>
              <w:t>14</w:t>
            </w:r>
            <w:r w:rsidR="00936C7E" w:rsidRPr="005251F3">
              <w:rPr>
                <w:rFonts w:ascii="Arial" w:hAnsi="Arial" w:cs="Arial"/>
                <w:sz w:val="20"/>
                <w:szCs w:val="20"/>
              </w:rPr>
              <w:t xml:space="preserve"> </w:t>
            </w:r>
            <w:r w:rsidR="00577EE6" w:rsidRPr="005251F3">
              <w:rPr>
                <w:rFonts w:ascii="Arial" w:hAnsi="Arial" w:cs="Arial"/>
                <w:sz w:val="20"/>
                <w:szCs w:val="20"/>
              </w:rPr>
              <w:t>Nummer</w:t>
            </w:r>
            <w:r w:rsidR="00936C7E" w:rsidRPr="005251F3">
              <w:rPr>
                <w:rFonts w:ascii="Arial" w:hAnsi="Arial" w:cs="Arial"/>
                <w:sz w:val="20"/>
                <w:szCs w:val="20"/>
              </w:rPr>
              <w:t xml:space="preserve"> </w:t>
            </w:r>
            <w:r w:rsidR="00577EE6" w:rsidRPr="005251F3">
              <w:rPr>
                <w:rFonts w:ascii="Arial" w:hAnsi="Arial" w:cs="Arial"/>
                <w:sz w:val="20"/>
                <w:szCs w:val="20"/>
              </w:rPr>
              <w:t>14.1 zum Vertrag in §</w:t>
            </w:r>
            <w:r w:rsidR="00EC6527" w:rsidRPr="005251F3">
              <w:rPr>
                <w:rFonts w:ascii="Arial" w:hAnsi="Arial" w:cs="Arial"/>
                <w:sz w:val="20"/>
                <w:szCs w:val="20"/>
              </w:rPr>
              <w:t> </w:t>
            </w:r>
            <w:r w:rsidR="00577EE6" w:rsidRPr="005251F3">
              <w:rPr>
                <w:rFonts w:ascii="Arial" w:hAnsi="Arial" w:cs="Arial"/>
                <w:sz w:val="20"/>
                <w:szCs w:val="20"/>
              </w:rPr>
              <w:t>2</w:t>
            </w:r>
            <w:r w:rsidR="00936C7E" w:rsidRPr="005251F3">
              <w:rPr>
                <w:rFonts w:ascii="Arial" w:hAnsi="Arial" w:cs="Arial"/>
                <w:sz w:val="20"/>
                <w:szCs w:val="20"/>
              </w:rPr>
              <w:t xml:space="preserve"> </w:t>
            </w:r>
            <w:r w:rsidR="00577EE6" w:rsidRPr="005251F3">
              <w:rPr>
                <w:rFonts w:ascii="Arial" w:hAnsi="Arial" w:cs="Arial"/>
                <w:sz w:val="20"/>
                <w:szCs w:val="20"/>
              </w:rPr>
              <w:t>Nummer</w:t>
            </w:r>
            <w:r w:rsidR="00936C7E" w:rsidRPr="005251F3">
              <w:rPr>
                <w:rFonts w:ascii="Arial" w:hAnsi="Arial" w:cs="Arial"/>
                <w:sz w:val="20"/>
                <w:szCs w:val="20"/>
              </w:rPr>
              <w:t xml:space="preserve"> </w:t>
            </w:r>
            <w:r w:rsidR="00577EE6" w:rsidRPr="005251F3">
              <w:rPr>
                <w:rFonts w:ascii="Arial" w:hAnsi="Arial" w:cs="Arial"/>
                <w:sz w:val="20"/>
                <w:szCs w:val="20"/>
              </w:rPr>
              <w:t>2.1 anzukreuzen.</w:t>
            </w:r>
          </w:p>
          <w:p w:rsidR="002E7516" w:rsidRPr="005251F3" w:rsidRDefault="006567F6" w:rsidP="00EC6527">
            <w:pPr>
              <w:spacing w:before="80" w:line="276" w:lineRule="auto"/>
              <w:jc w:val="both"/>
              <w:rPr>
                <w:rFonts w:ascii="Arial" w:hAnsi="Arial" w:cs="Arial"/>
                <w:sz w:val="20"/>
                <w:szCs w:val="20"/>
              </w:rPr>
            </w:pPr>
            <w:r w:rsidRPr="005251F3">
              <w:rPr>
                <w:rFonts w:ascii="Arial" w:hAnsi="Arial" w:cs="Arial"/>
                <w:sz w:val="20"/>
                <w:szCs w:val="20"/>
              </w:rPr>
              <w:t>Die AVB dürfen nicht geändert werden.</w:t>
            </w:r>
          </w:p>
        </w:tc>
      </w:tr>
      <w:tr w:rsidR="00AB4F08" w:rsidRPr="005251F3" w:rsidTr="00061E91">
        <w:trPr>
          <w:cantSplit/>
          <w:trHeight w:val="260"/>
        </w:trPr>
        <w:tc>
          <w:tcPr>
            <w:tcW w:w="1668" w:type="dxa"/>
            <w:shd w:val="clear" w:color="auto" w:fill="auto"/>
          </w:tcPr>
          <w:p w:rsidR="00AB4F08" w:rsidRPr="005251F3" w:rsidRDefault="00AB4F08" w:rsidP="00EC6527">
            <w:pPr>
              <w:spacing w:before="80" w:line="276" w:lineRule="auto"/>
              <w:rPr>
                <w:rFonts w:ascii="Arial" w:hAnsi="Arial" w:cs="Arial"/>
                <w:sz w:val="20"/>
                <w:szCs w:val="20"/>
              </w:rPr>
            </w:pPr>
          </w:p>
        </w:tc>
        <w:tc>
          <w:tcPr>
            <w:tcW w:w="7546" w:type="dxa"/>
            <w:gridSpan w:val="3"/>
            <w:shd w:val="clear" w:color="auto" w:fill="auto"/>
          </w:tcPr>
          <w:p w:rsidR="00AB4F08" w:rsidRPr="005251F3" w:rsidRDefault="00AB4F08" w:rsidP="00EC6527">
            <w:pPr>
              <w:spacing w:before="80" w:line="276" w:lineRule="auto"/>
              <w:jc w:val="both"/>
              <w:rPr>
                <w:rFonts w:ascii="Arial" w:hAnsi="Arial" w:cs="Arial"/>
                <w:b/>
                <w:sz w:val="20"/>
                <w:szCs w:val="20"/>
              </w:rPr>
            </w:pPr>
          </w:p>
        </w:tc>
      </w:tr>
      <w:tr w:rsidR="002716E6" w:rsidRPr="005251F3" w:rsidTr="00061E91">
        <w:trPr>
          <w:cantSplit/>
        </w:trPr>
        <w:tc>
          <w:tcPr>
            <w:tcW w:w="1668" w:type="dxa"/>
            <w:shd w:val="clear" w:color="auto" w:fill="auto"/>
          </w:tcPr>
          <w:p w:rsidR="002716E6" w:rsidRPr="005251F3" w:rsidRDefault="002716E6" w:rsidP="00EC6527">
            <w:pPr>
              <w:spacing w:before="80" w:line="276" w:lineRule="auto"/>
              <w:rPr>
                <w:rFonts w:ascii="Arial" w:hAnsi="Arial" w:cs="Arial"/>
                <w:sz w:val="20"/>
                <w:szCs w:val="20"/>
              </w:rPr>
            </w:pPr>
          </w:p>
        </w:tc>
        <w:tc>
          <w:tcPr>
            <w:tcW w:w="7546" w:type="dxa"/>
            <w:gridSpan w:val="3"/>
            <w:shd w:val="clear" w:color="auto" w:fill="auto"/>
          </w:tcPr>
          <w:p w:rsidR="00B66B23" w:rsidRPr="005251F3" w:rsidRDefault="00B66B23" w:rsidP="00EC6527">
            <w:pPr>
              <w:spacing w:before="80" w:line="276" w:lineRule="auto"/>
              <w:jc w:val="both"/>
              <w:rPr>
                <w:rFonts w:ascii="Arial" w:hAnsi="Arial" w:cs="Arial"/>
                <w:b/>
                <w:sz w:val="20"/>
                <w:szCs w:val="20"/>
              </w:rPr>
            </w:pPr>
            <w:r w:rsidRPr="005251F3">
              <w:rPr>
                <w:rFonts w:ascii="Arial" w:hAnsi="Arial" w:cs="Arial"/>
                <w:b/>
                <w:sz w:val="20"/>
                <w:szCs w:val="20"/>
              </w:rPr>
              <w:t>Angaben zu den Vertragsparteien</w:t>
            </w:r>
          </w:p>
          <w:p w:rsidR="006A55B2" w:rsidRPr="005251F3" w:rsidRDefault="002850E5" w:rsidP="00EC6527">
            <w:pPr>
              <w:spacing w:before="80" w:line="276" w:lineRule="auto"/>
              <w:jc w:val="both"/>
              <w:rPr>
                <w:rFonts w:ascii="Arial" w:hAnsi="Arial" w:cs="Arial"/>
                <w:sz w:val="20"/>
                <w:szCs w:val="20"/>
              </w:rPr>
            </w:pPr>
            <w:r w:rsidRPr="005251F3">
              <w:rPr>
                <w:rFonts w:ascii="Arial" w:hAnsi="Arial" w:cs="Arial"/>
                <w:sz w:val="20"/>
                <w:szCs w:val="20"/>
              </w:rPr>
              <w:t>Die Angaben zu den Vertragsparteien</w:t>
            </w:r>
            <w:r w:rsidR="00CF7B7E" w:rsidRPr="005251F3">
              <w:rPr>
                <w:rFonts w:ascii="Arial" w:hAnsi="Arial" w:cs="Arial"/>
                <w:sz w:val="20"/>
                <w:szCs w:val="20"/>
              </w:rPr>
              <w:t xml:space="preserve"> </w:t>
            </w:r>
            <w:r w:rsidRPr="005251F3">
              <w:rPr>
                <w:rFonts w:ascii="Arial" w:hAnsi="Arial" w:cs="Arial"/>
                <w:sz w:val="20"/>
                <w:szCs w:val="20"/>
              </w:rPr>
              <w:t>sind vollständig</w:t>
            </w:r>
            <w:r w:rsidR="00981A45" w:rsidRPr="005251F3">
              <w:rPr>
                <w:rFonts w:ascii="Arial" w:hAnsi="Arial" w:cs="Arial"/>
                <w:sz w:val="20"/>
                <w:szCs w:val="20"/>
              </w:rPr>
              <w:t xml:space="preserve">, z. B. </w:t>
            </w:r>
            <w:r w:rsidR="00B66B23" w:rsidRPr="005251F3">
              <w:rPr>
                <w:rFonts w:ascii="Arial" w:hAnsi="Arial" w:cs="Arial"/>
                <w:sz w:val="20"/>
                <w:szCs w:val="20"/>
              </w:rPr>
              <w:t>im Auftragsschreiben</w:t>
            </w:r>
            <w:r w:rsidR="00981A45" w:rsidRPr="005251F3">
              <w:rPr>
                <w:rFonts w:ascii="Arial" w:hAnsi="Arial" w:cs="Arial"/>
                <w:sz w:val="20"/>
                <w:szCs w:val="20"/>
              </w:rPr>
              <w:t>,</w:t>
            </w:r>
            <w:r w:rsidR="00B66B23" w:rsidRPr="005251F3">
              <w:rPr>
                <w:rFonts w:ascii="Arial" w:hAnsi="Arial" w:cs="Arial"/>
                <w:sz w:val="20"/>
                <w:szCs w:val="20"/>
              </w:rPr>
              <w:t xml:space="preserve"> </w:t>
            </w:r>
            <w:r w:rsidRPr="005251F3">
              <w:rPr>
                <w:rFonts w:ascii="Arial" w:hAnsi="Arial" w:cs="Arial"/>
                <w:sz w:val="20"/>
                <w:szCs w:val="20"/>
              </w:rPr>
              <w:t>einzutragen.</w:t>
            </w:r>
          </w:p>
          <w:p w:rsidR="002716E6" w:rsidRPr="005251F3" w:rsidRDefault="002850E5" w:rsidP="00EC6527">
            <w:pPr>
              <w:spacing w:before="80" w:line="276" w:lineRule="auto"/>
              <w:jc w:val="both"/>
              <w:rPr>
                <w:rFonts w:ascii="Arial" w:hAnsi="Arial" w:cs="Arial"/>
                <w:sz w:val="20"/>
                <w:szCs w:val="20"/>
              </w:rPr>
            </w:pPr>
            <w:r w:rsidRPr="005251F3">
              <w:rPr>
                <w:rFonts w:ascii="Arial" w:hAnsi="Arial" w:cs="Arial"/>
                <w:sz w:val="20"/>
                <w:szCs w:val="20"/>
              </w:rPr>
              <w:t xml:space="preserve">Auf Auftraggeberseite kommen </w:t>
            </w:r>
            <w:r w:rsidR="00444DC3" w:rsidRPr="005251F3">
              <w:rPr>
                <w:rFonts w:ascii="Arial" w:hAnsi="Arial" w:cs="Arial"/>
                <w:sz w:val="20"/>
                <w:szCs w:val="20"/>
              </w:rPr>
              <w:t>als Maßnahme</w:t>
            </w:r>
            <w:r w:rsidR="00F607DE" w:rsidRPr="005251F3">
              <w:rPr>
                <w:rFonts w:ascii="Arial" w:hAnsi="Arial" w:cs="Arial"/>
                <w:sz w:val="20"/>
                <w:szCs w:val="20"/>
              </w:rPr>
              <w:t>n</w:t>
            </w:r>
            <w:r w:rsidR="00444DC3" w:rsidRPr="005251F3">
              <w:rPr>
                <w:rFonts w:ascii="Arial" w:hAnsi="Arial" w:cs="Arial"/>
                <w:sz w:val="20"/>
                <w:szCs w:val="20"/>
              </w:rPr>
              <w:t xml:space="preserve">träger </w:t>
            </w:r>
            <w:r w:rsidRPr="005251F3">
              <w:rPr>
                <w:rFonts w:ascii="Arial" w:hAnsi="Arial" w:cs="Arial"/>
                <w:sz w:val="20"/>
                <w:szCs w:val="20"/>
              </w:rPr>
              <w:t>in Betracht:</w:t>
            </w:r>
            <w:r w:rsidR="00BF6009" w:rsidRPr="005251F3">
              <w:rPr>
                <w:rFonts w:ascii="Arial" w:hAnsi="Arial" w:cs="Arial"/>
                <w:sz w:val="20"/>
                <w:szCs w:val="20"/>
              </w:rPr>
              <w:t xml:space="preserve"> </w:t>
            </w:r>
          </w:p>
        </w:tc>
      </w:tr>
      <w:tr w:rsidR="002850E5" w:rsidRPr="005251F3" w:rsidTr="00061E91">
        <w:trPr>
          <w:cantSplit/>
        </w:trPr>
        <w:tc>
          <w:tcPr>
            <w:tcW w:w="1668" w:type="dxa"/>
            <w:shd w:val="clear" w:color="auto" w:fill="auto"/>
          </w:tcPr>
          <w:p w:rsidR="002850E5" w:rsidRPr="005251F3" w:rsidRDefault="002850E5" w:rsidP="00EC6527">
            <w:pPr>
              <w:spacing w:before="40" w:line="276" w:lineRule="auto"/>
              <w:rPr>
                <w:rFonts w:ascii="Arial" w:hAnsi="Arial" w:cs="Arial"/>
                <w:b/>
                <w:sz w:val="20"/>
                <w:szCs w:val="20"/>
              </w:rPr>
            </w:pPr>
          </w:p>
        </w:tc>
        <w:tc>
          <w:tcPr>
            <w:tcW w:w="240" w:type="dxa"/>
            <w:shd w:val="clear" w:color="auto" w:fill="auto"/>
          </w:tcPr>
          <w:p w:rsidR="002850E5" w:rsidRPr="005251F3" w:rsidRDefault="002850E5"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306" w:type="dxa"/>
            <w:gridSpan w:val="2"/>
            <w:shd w:val="clear" w:color="auto" w:fill="auto"/>
          </w:tcPr>
          <w:p w:rsidR="002850E5" w:rsidRPr="005251F3" w:rsidRDefault="002250B9" w:rsidP="00EC6527">
            <w:pPr>
              <w:spacing w:before="40" w:line="276" w:lineRule="auto"/>
              <w:jc w:val="both"/>
              <w:rPr>
                <w:rFonts w:ascii="Arial" w:hAnsi="Arial" w:cs="Arial"/>
                <w:sz w:val="20"/>
                <w:szCs w:val="20"/>
              </w:rPr>
            </w:pPr>
            <w:r w:rsidRPr="005251F3">
              <w:rPr>
                <w:rFonts w:ascii="Arial" w:hAnsi="Arial" w:cs="Arial"/>
                <w:sz w:val="20"/>
                <w:szCs w:val="20"/>
              </w:rPr>
              <w:t xml:space="preserve">Bundesrepublik Deutschland, vertreten durch das Bundesministerium </w:t>
            </w:r>
            <w:r w:rsidR="00D838DE" w:rsidRPr="005251F3">
              <w:rPr>
                <w:rFonts w:ascii="Arial" w:hAnsi="Arial" w:cs="Arial"/>
                <w:sz w:val="20"/>
                <w:szCs w:val="20"/>
              </w:rPr>
              <w:t>des Innern</w:t>
            </w:r>
            <w:r w:rsidR="000E4F84" w:rsidRPr="005251F3">
              <w:rPr>
                <w:rFonts w:ascii="Arial" w:hAnsi="Arial" w:cs="Arial"/>
                <w:sz w:val="20"/>
                <w:szCs w:val="20"/>
              </w:rPr>
              <w:t>,</w:t>
            </w:r>
            <w:r w:rsidR="00D838DE" w:rsidRPr="005251F3">
              <w:rPr>
                <w:rFonts w:ascii="Arial" w:hAnsi="Arial" w:cs="Arial"/>
                <w:sz w:val="20"/>
                <w:szCs w:val="20"/>
              </w:rPr>
              <w:t xml:space="preserve"> für Bau und Heimat </w:t>
            </w:r>
            <w:r w:rsidR="000E4F84" w:rsidRPr="005251F3">
              <w:rPr>
                <w:rFonts w:ascii="Arial" w:hAnsi="Arial" w:cs="Arial"/>
                <w:sz w:val="20"/>
                <w:szCs w:val="20"/>
              </w:rPr>
              <w:t xml:space="preserve">(BMI), das Bundesministerium für Umwelt, Naturschutz und nukleare Sicherheit (BMU) oder das Bundesministerium </w:t>
            </w:r>
            <w:r w:rsidR="006A55B2" w:rsidRPr="005251F3">
              <w:rPr>
                <w:rFonts w:ascii="Arial" w:hAnsi="Arial" w:cs="Arial"/>
                <w:sz w:val="20"/>
                <w:szCs w:val="20"/>
              </w:rPr>
              <w:t xml:space="preserve">der </w:t>
            </w:r>
            <w:r w:rsidRPr="005251F3">
              <w:rPr>
                <w:rFonts w:ascii="Arial" w:hAnsi="Arial" w:cs="Arial"/>
                <w:sz w:val="20"/>
                <w:szCs w:val="20"/>
              </w:rPr>
              <w:t>Verteidigung</w:t>
            </w:r>
            <w:r w:rsidR="000E4F84" w:rsidRPr="005251F3">
              <w:rPr>
                <w:rFonts w:ascii="Arial" w:hAnsi="Arial" w:cs="Arial"/>
                <w:sz w:val="20"/>
                <w:szCs w:val="20"/>
              </w:rPr>
              <w:t xml:space="preserve"> (BMVg)</w:t>
            </w:r>
            <w:r w:rsidRPr="005251F3">
              <w:rPr>
                <w:rFonts w:ascii="Arial" w:hAnsi="Arial" w:cs="Arial"/>
                <w:sz w:val="20"/>
                <w:szCs w:val="20"/>
              </w:rPr>
              <w:t xml:space="preserve">, </w:t>
            </w:r>
          </w:p>
        </w:tc>
      </w:tr>
      <w:tr w:rsidR="002850E5" w:rsidRPr="005251F3" w:rsidTr="00061E91">
        <w:trPr>
          <w:cantSplit/>
        </w:trPr>
        <w:tc>
          <w:tcPr>
            <w:tcW w:w="1668" w:type="dxa"/>
            <w:shd w:val="clear" w:color="auto" w:fill="auto"/>
          </w:tcPr>
          <w:p w:rsidR="002850E5" w:rsidRPr="005251F3" w:rsidRDefault="002850E5" w:rsidP="00EC6527">
            <w:pPr>
              <w:spacing w:before="40" w:line="276" w:lineRule="auto"/>
              <w:rPr>
                <w:rFonts w:ascii="Arial" w:hAnsi="Arial" w:cs="Arial"/>
                <w:b/>
                <w:sz w:val="20"/>
                <w:szCs w:val="20"/>
              </w:rPr>
            </w:pPr>
          </w:p>
        </w:tc>
        <w:tc>
          <w:tcPr>
            <w:tcW w:w="240" w:type="dxa"/>
            <w:shd w:val="clear" w:color="auto" w:fill="auto"/>
          </w:tcPr>
          <w:p w:rsidR="002850E5" w:rsidRPr="005251F3" w:rsidRDefault="002850E5"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306" w:type="dxa"/>
            <w:gridSpan w:val="2"/>
            <w:shd w:val="clear" w:color="auto" w:fill="auto"/>
          </w:tcPr>
          <w:p w:rsidR="002850E5" w:rsidRPr="005251F3" w:rsidRDefault="002250B9" w:rsidP="007D5195">
            <w:pPr>
              <w:spacing w:before="40" w:line="276" w:lineRule="auto"/>
              <w:jc w:val="both"/>
              <w:rPr>
                <w:rFonts w:ascii="Arial" w:hAnsi="Arial" w:cs="Arial"/>
                <w:sz w:val="20"/>
                <w:szCs w:val="20"/>
              </w:rPr>
            </w:pPr>
            <w:r w:rsidRPr="005251F3">
              <w:rPr>
                <w:rFonts w:ascii="Arial" w:hAnsi="Arial" w:cs="Arial"/>
                <w:sz w:val="20"/>
                <w:szCs w:val="20"/>
              </w:rPr>
              <w:t>Bundesanstalt für Immobilienaufgaben,</w:t>
            </w:r>
          </w:p>
        </w:tc>
      </w:tr>
      <w:tr w:rsidR="002850E5" w:rsidRPr="005251F3" w:rsidTr="00061E91">
        <w:trPr>
          <w:cantSplit/>
        </w:trPr>
        <w:tc>
          <w:tcPr>
            <w:tcW w:w="1668" w:type="dxa"/>
            <w:shd w:val="clear" w:color="auto" w:fill="auto"/>
          </w:tcPr>
          <w:p w:rsidR="002850E5" w:rsidRPr="005251F3" w:rsidRDefault="002850E5" w:rsidP="00EC6527">
            <w:pPr>
              <w:spacing w:before="40" w:line="276" w:lineRule="auto"/>
              <w:rPr>
                <w:rFonts w:ascii="Arial" w:hAnsi="Arial" w:cs="Arial"/>
                <w:b/>
                <w:sz w:val="20"/>
                <w:szCs w:val="20"/>
              </w:rPr>
            </w:pPr>
          </w:p>
        </w:tc>
        <w:tc>
          <w:tcPr>
            <w:tcW w:w="240" w:type="dxa"/>
            <w:shd w:val="clear" w:color="auto" w:fill="auto"/>
          </w:tcPr>
          <w:p w:rsidR="002850E5" w:rsidRPr="005251F3" w:rsidRDefault="002850E5"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306" w:type="dxa"/>
            <w:gridSpan w:val="2"/>
            <w:shd w:val="clear" w:color="auto" w:fill="auto"/>
          </w:tcPr>
          <w:p w:rsidR="002850E5" w:rsidRPr="005251F3" w:rsidRDefault="002250B9" w:rsidP="00936C7E">
            <w:pPr>
              <w:spacing w:before="40" w:line="276" w:lineRule="auto"/>
              <w:jc w:val="both"/>
              <w:rPr>
                <w:rFonts w:ascii="Arial" w:hAnsi="Arial" w:cs="Arial"/>
                <w:sz w:val="20"/>
                <w:szCs w:val="20"/>
              </w:rPr>
            </w:pPr>
            <w:r w:rsidRPr="005251F3">
              <w:rPr>
                <w:rFonts w:ascii="Arial" w:hAnsi="Arial" w:cs="Arial"/>
                <w:sz w:val="20"/>
                <w:szCs w:val="20"/>
              </w:rPr>
              <w:t>s</w:t>
            </w:r>
            <w:r w:rsidR="00EC6527" w:rsidRPr="005251F3">
              <w:rPr>
                <w:rFonts w:ascii="Arial" w:hAnsi="Arial" w:cs="Arial"/>
                <w:sz w:val="20"/>
                <w:szCs w:val="20"/>
              </w:rPr>
              <w:t>onstige Dritte (siehe Abschnitt</w:t>
            </w:r>
            <w:r w:rsidR="00213FFD" w:rsidRPr="005251F3">
              <w:rPr>
                <w:rFonts w:ascii="Arial" w:hAnsi="Arial" w:cs="Arial"/>
                <w:sz w:val="20"/>
                <w:szCs w:val="20"/>
              </w:rPr>
              <w:t xml:space="preserve"> </w:t>
            </w:r>
            <w:r w:rsidRPr="005251F3">
              <w:rPr>
                <w:rFonts w:ascii="Arial" w:hAnsi="Arial" w:cs="Arial"/>
                <w:sz w:val="20"/>
                <w:szCs w:val="20"/>
              </w:rPr>
              <w:t>L</w:t>
            </w:r>
            <w:r w:rsidR="00936C7E" w:rsidRPr="005251F3">
              <w:rPr>
                <w:rFonts w:ascii="Arial" w:hAnsi="Arial" w:cs="Arial"/>
                <w:sz w:val="20"/>
                <w:szCs w:val="20"/>
              </w:rPr>
              <w:t xml:space="preserve"> </w:t>
            </w:r>
            <w:r w:rsidRPr="005251F3">
              <w:rPr>
                <w:rFonts w:ascii="Arial" w:hAnsi="Arial" w:cs="Arial"/>
                <w:sz w:val="20"/>
                <w:szCs w:val="20"/>
              </w:rPr>
              <w:t>3</w:t>
            </w:r>
            <w:r w:rsidR="00936C7E" w:rsidRPr="005251F3">
              <w:rPr>
                <w:rFonts w:ascii="Arial" w:hAnsi="Arial" w:cs="Arial"/>
                <w:sz w:val="20"/>
                <w:szCs w:val="20"/>
              </w:rPr>
              <w:t xml:space="preserve"> </w:t>
            </w:r>
            <w:r w:rsidRPr="005251F3">
              <w:rPr>
                <w:rFonts w:ascii="Arial" w:hAnsi="Arial" w:cs="Arial"/>
                <w:sz w:val="20"/>
                <w:szCs w:val="20"/>
              </w:rPr>
              <w:t>RBBau).</w:t>
            </w:r>
          </w:p>
        </w:tc>
      </w:tr>
      <w:tr w:rsidR="00340E3F" w:rsidRPr="005251F3" w:rsidTr="00061E91">
        <w:trPr>
          <w:cantSplit/>
          <w:trHeight w:val="89"/>
        </w:trPr>
        <w:tc>
          <w:tcPr>
            <w:tcW w:w="1668" w:type="dxa"/>
            <w:shd w:val="clear" w:color="auto" w:fill="auto"/>
          </w:tcPr>
          <w:p w:rsidR="00340E3F" w:rsidRPr="005251F3" w:rsidRDefault="00340E3F" w:rsidP="00EC6527">
            <w:pPr>
              <w:spacing w:line="276" w:lineRule="auto"/>
              <w:rPr>
                <w:rFonts w:ascii="Arial" w:hAnsi="Arial" w:cs="Arial"/>
                <w:sz w:val="20"/>
                <w:szCs w:val="20"/>
              </w:rPr>
            </w:pPr>
          </w:p>
        </w:tc>
        <w:tc>
          <w:tcPr>
            <w:tcW w:w="7546" w:type="dxa"/>
            <w:gridSpan w:val="3"/>
            <w:shd w:val="clear" w:color="auto" w:fill="auto"/>
          </w:tcPr>
          <w:p w:rsidR="00340E3F" w:rsidRPr="005251F3" w:rsidRDefault="00340E3F" w:rsidP="00EC6527">
            <w:pPr>
              <w:spacing w:line="276" w:lineRule="auto"/>
              <w:jc w:val="both"/>
              <w:rPr>
                <w:rFonts w:ascii="Arial" w:hAnsi="Arial" w:cs="Arial"/>
                <w:sz w:val="20"/>
                <w:szCs w:val="20"/>
              </w:rPr>
            </w:pPr>
          </w:p>
        </w:tc>
      </w:tr>
      <w:tr w:rsidR="002716E6" w:rsidRPr="005251F3" w:rsidTr="00061E91">
        <w:trPr>
          <w:cantSplit/>
        </w:trPr>
        <w:tc>
          <w:tcPr>
            <w:tcW w:w="1668" w:type="dxa"/>
            <w:shd w:val="clear" w:color="auto" w:fill="auto"/>
          </w:tcPr>
          <w:p w:rsidR="002716E6" w:rsidRPr="005251F3" w:rsidRDefault="002716E6" w:rsidP="00EC6527">
            <w:pPr>
              <w:spacing w:before="80" w:line="276" w:lineRule="auto"/>
              <w:rPr>
                <w:rFonts w:ascii="Arial" w:hAnsi="Arial" w:cs="Arial"/>
                <w:sz w:val="20"/>
                <w:szCs w:val="20"/>
              </w:rPr>
            </w:pPr>
          </w:p>
        </w:tc>
        <w:tc>
          <w:tcPr>
            <w:tcW w:w="7546" w:type="dxa"/>
            <w:gridSpan w:val="3"/>
            <w:shd w:val="clear" w:color="auto" w:fill="auto"/>
          </w:tcPr>
          <w:p w:rsidR="0052573C" w:rsidRPr="005251F3" w:rsidRDefault="002850E5" w:rsidP="00EC6527">
            <w:pPr>
              <w:spacing w:before="80" w:line="276" w:lineRule="auto"/>
              <w:jc w:val="both"/>
              <w:rPr>
                <w:rFonts w:ascii="Arial" w:hAnsi="Arial" w:cs="Arial"/>
                <w:sz w:val="20"/>
                <w:szCs w:val="20"/>
              </w:rPr>
            </w:pPr>
            <w:r w:rsidRPr="005251F3">
              <w:rPr>
                <w:rFonts w:ascii="Arial" w:hAnsi="Arial" w:cs="Arial"/>
                <w:sz w:val="20"/>
                <w:szCs w:val="20"/>
              </w:rPr>
              <w:t>Die</w:t>
            </w:r>
            <w:r w:rsidR="006A55B2" w:rsidRPr="005251F3">
              <w:rPr>
                <w:rFonts w:ascii="Arial" w:hAnsi="Arial" w:cs="Arial"/>
                <w:sz w:val="20"/>
                <w:szCs w:val="20"/>
              </w:rPr>
              <w:t xml:space="preserve"> V</w:t>
            </w:r>
            <w:r w:rsidRPr="005251F3">
              <w:rPr>
                <w:rFonts w:ascii="Arial" w:hAnsi="Arial" w:cs="Arial"/>
                <w:sz w:val="20"/>
                <w:szCs w:val="20"/>
              </w:rPr>
              <w:t>ertretungsfolge</w:t>
            </w:r>
            <w:r w:rsidR="006A55B2" w:rsidRPr="005251F3">
              <w:rPr>
                <w:rFonts w:ascii="Arial" w:hAnsi="Arial" w:cs="Arial"/>
                <w:sz w:val="20"/>
                <w:szCs w:val="20"/>
              </w:rPr>
              <w:t xml:space="preserve"> „</w:t>
            </w:r>
            <w:r w:rsidRPr="005251F3">
              <w:rPr>
                <w:rFonts w:ascii="Arial" w:hAnsi="Arial" w:cs="Arial"/>
                <w:sz w:val="20"/>
                <w:szCs w:val="20"/>
              </w:rPr>
              <w:t>Fachauf</w:t>
            </w:r>
            <w:r w:rsidR="00CF7B7E" w:rsidRPr="005251F3">
              <w:rPr>
                <w:rFonts w:ascii="Arial" w:hAnsi="Arial" w:cs="Arial"/>
                <w:sz w:val="20"/>
                <w:szCs w:val="20"/>
              </w:rPr>
              <w:t>s</w:t>
            </w:r>
            <w:r w:rsidRPr="005251F3">
              <w:rPr>
                <w:rFonts w:ascii="Arial" w:hAnsi="Arial" w:cs="Arial"/>
                <w:sz w:val="20"/>
                <w:szCs w:val="20"/>
              </w:rPr>
              <w:t>icht führende Ebene</w:t>
            </w:r>
            <w:r w:rsidR="006A55B2" w:rsidRPr="005251F3">
              <w:rPr>
                <w:rFonts w:ascii="Arial" w:hAnsi="Arial" w:cs="Arial"/>
                <w:sz w:val="20"/>
                <w:szCs w:val="20"/>
              </w:rPr>
              <w:t>“</w:t>
            </w:r>
            <w:r w:rsidRPr="005251F3">
              <w:rPr>
                <w:rFonts w:ascii="Arial" w:hAnsi="Arial" w:cs="Arial"/>
                <w:sz w:val="20"/>
                <w:szCs w:val="20"/>
              </w:rPr>
              <w:t xml:space="preserve"> und </w:t>
            </w:r>
            <w:r w:rsidR="006A55B2" w:rsidRPr="005251F3">
              <w:rPr>
                <w:rFonts w:ascii="Arial" w:hAnsi="Arial" w:cs="Arial"/>
                <w:sz w:val="20"/>
                <w:szCs w:val="20"/>
              </w:rPr>
              <w:t>„B</w:t>
            </w:r>
            <w:r w:rsidRPr="005251F3">
              <w:rPr>
                <w:rFonts w:ascii="Arial" w:hAnsi="Arial" w:cs="Arial"/>
                <w:sz w:val="20"/>
                <w:szCs w:val="20"/>
              </w:rPr>
              <w:t>au</w:t>
            </w:r>
            <w:r w:rsidR="006A55B2" w:rsidRPr="005251F3">
              <w:rPr>
                <w:rFonts w:ascii="Arial" w:hAnsi="Arial" w:cs="Arial"/>
                <w:sz w:val="20"/>
                <w:szCs w:val="20"/>
              </w:rPr>
              <w:t>durch</w:t>
            </w:r>
            <w:r w:rsidRPr="005251F3">
              <w:rPr>
                <w:rFonts w:ascii="Arial" w:hAnsi="Arial" w:cs="Arial"/>
                <w:sz w:val="20"/>
                <w:szCs w:val="20"/>
              </w:rPr>
              <w:t>führende Ebene</w:t>
            </w:r>
            <w:r w:rsidR="006A55B2" w:rsidRPr="005251F3">
              <w:rPr>
                <w:rFonts w:ascii="Arial" w:hAnsi="Arial" w:cs="Arial"/>
                <w:sz w:val="20"/>
                <w:szCs w:val="20"/>
              </w:rPr>
              <w:t>“</w:t>
            </w:r>
            <w:r w:rsidRPr="005251F3">
              <w:rPr>
                <w:rFonts w:ascii="Arial" w:hAnsi="Arial" w:cs="Arial"/>
                <w:sz w:val="20"/>
                <w:szCs w:val="20"/>
              </w:rPr>
              <w:t xml:space="preserve"> </w:t>
            </w:r>
            <w:r w:rsidR="00936C7E" w:rsidRPr="005251F3">
              <w:rPr>
                <w:rFonts w:ascii="Arial" w:hAnsi="Arial" w:cs="Arial"/>
                <w:sz w:val="20"/>
                <w:szCs w:val="20"/>
              </w:rPr>
              <w:t>ist darzustellen.</w:t>
            </w:r>
          </w:p>
          <w:p w:rsidR="002716E6" w:rsidRPr="005251F3" w:rsidRDefault="002850E5">
            <w:pPr>
              <w:spacing w:before="80" w:line="276" w:lineRule="auto"/>
              <w:jc w:val="both"/>
              <w:rPr>
                <w:rFonts w:ascii="Arial" w:hAnsi="Arial" w:cs="Arial"/>
                <w:sz w:val="20"/>
                <w:szCs w:val="20"/>
              </w:rPr>
            </w:pPr>
            <w:r w:rsidRPr="005251F3">
              <w:rPr>
                <w:rFonts w:ascii="Arial" w:hAnsi="Arial" w:cs="Arial"/>
                <w:sz w:val="20"/>
                <w:szCs w:val="20"/>
              </w:rPr>
              <w:t xml:space="preserve">Eine Vertretung der Auftragnehmerseite ist </w:t>
            </w:r>
            <w:r w:rsidR="00A80867" w:rsidRPr="005251F3">
              <w:rPr>
                <w:rFonts w:ascii="Arial" w:hAnsi="Arial" w:cs="Arial"/>
                <w:sz w:val="20"/>
                <w:szCs w:val="20"/>
              </w:rPr>
              <w:t xml:space="preserve">immer </w:t>
            </w:r>
            <w:r w:rsidRPr="005251F3">
              <w:rPr>
                <w:rFonts w:ascii="Arial" w:hAnsi="Arial" w:cs="Arial"/>
                <w:sz w:val="20"/>
                <w:szCs w:val="20"/>
              </w:rPr>
              <w:t>anzugeben</w:t>
            </w:r>
            <w:r w:rsidR="006A55B2" w:rsidRPr="005251F3">
              <w:rPr>
                <w:rFonts w:ascii="Arial" w:hAnsi="Arial" w:cs="Arial"/>
                <w:sz w:val="20"/>
                <w:szCs w:val="20"/>
              </w:rPr>
              <w:t>:</w:t>
            </w:r>
            <w:r w:rsidRPr="005251F3">
              <w:rPr>
                <w:rFonts w:ascii="Arial" w:hAnsi="Arial" w:cs="Arial"/>
                <w:sz w:val="20"/>
                <w:szCs w:val="20"/>
              </w:rPr>
              <w:t xml:space="preserve"> </w:t>
            </w:r>
          </w:p>
        </w:tc>
      </w:tr>
      <w:tr w:rsidR="002850E5" w:rsidRPr="005251F3" w:rsidTr="00061E91">
        <w:trPr>
          <w:cantSplit/>
        </w:trPr>
        <w:tc>
          <w:tcPr>
            <w:tcW w:w="1668" w:type="dxa"/>
            <w:shd w:val="clear" w:color="auto" w:fill="auto"/>
          </w:tcPr>
          <w:p w:rsidR="002850E5" w:rsidRPr="005251F3" w:rsidRDefault="002850E5" w:rsidP="00EC6527">
            <w:pPr>
              <w:spacing w:before="40" w:line="276" w:lineRule="auto"/>
              <w:rPr>
                <w:rFonts w:ascii="Arial" w:hAnsi="Arial" w:cs="Arial"/>
                <w:b/>
                <w:sz w:val="20"/>
                <w:szCs w:val="20"/>
              </w:rPr>
            </w:pPr>
          </w:p>
        </w:tc>
        <w:tc>
          <w:tcPr>
            <w:tcW w:w="240" w:type="dxa"/>
            <w:shd w:val="clear" w:color="auto" w:fill="auto"/>
          </w:tcPr>
          <w:p w:rsidR="002850E5" w:rsidRPr="005251F3" w:rsidRDefault="002850E5"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306" w:type="dxa"/>
            <w:gridSpan w:val="2"/>
            <w:shd w:val="clear" w:color="auto" w:fill="auto"/>
          </w:tcPr>
          <w:p w:rsidR="002850E5" w:rsidRPr="005251F3" w:rsidRDefault="002250B9" w:rsidP="00EC6527">
            <w:pPr>
              <w:spacing w:before="40" w:line="276" w:lineRule="auto"/>
              <w:jc w:val="both"/>
              <w:rPr>
                <w:rFonts w:ascii="Arial" w:hAnsi="Arial" w:cs="Arial"/>
                <w:sz w:val="20"/>
                <w:szCs w:val="20"/>
              </w:rPr>
            </w:pPr>
            <w:r w:rsidRPr="005251F3">
              <w:rPr>
                <w:rFonts w:ascii="Arial" w:hAnsi="Arial" w:cs="Arial"/>
                <w:sz w:val="20"/>
                <w:szCs w:val="20"/>
              </w:rPr>
              <w:t>bei Arbeitsgemeinschaften,</w:t>
            </w:r>
          </w:p>
        </w:tc>
      </w:tr>
      <w:tr w:rsidR="00A80867" w:rsidRPr="005251F3" w:rsidTr="00061E91">
        <w:trPr>
          <w:cantSplit/>
        </w:trPr>
        <w:tc>
          <w:tcPr>
            <w:tcW w:w="1668" w:type="dxa"/>
            <w:shd w:val="clear" w:color="auto" w:fill="auto"/>
          </w:tcPr>
          <w:p w:rsidR="00A80867" w:rsidRPr="005251F3" w:rsidRDefault="00A80867" w:rsidP="00EC6527">
            <w:pPr>
              <w:spacing w:before="40" w:line="276" w:lineRule="auto"/>
              <w:rPr>
                <w:rFonts w:ascii="Arial" w:hAnsi="Arial" w:cs="Arial"/>
                <w:b/>
                <w:sz w:val="20"/>
                <w:szCs w:val="20"/>
              </w:rPr>
            </w:pPr>
          </w:p>
        </w:tc>
        <w:tc>
          <w:tcPr>
            <w:tcW w:w="240" w:type="dxa"/>
            <w:shd w:val="clear" w:color="auto" w:fill="auto"/>
          </w:tcPr>
          <w:p w:rsidR="00A80867" w:rsidRPr="005251F3" w:rsidRDefault="00A80867" w:rsidP="00EC6527">
            <w:pPr>
              <w:spacing w:before="40" w:line="276" w:lineRule="auto"/>
              <w:jc w:val="both"/>
              <w:rPr>
                <w:rFonts w:ascii="Arial" w:hAnsi="Arial" w:cs="Arial"/>
                <w:sz w:val="20"/>
                <w:szCs w:val="20"/>
              </w:rPr>
            </w:pPr>
            <w:r w:rsidRPr="005251F3">
              <w:rPr>
                <w:rFonts w:ascii="Arial" w:hAnsi="Arial" w:cs="Arial"/>
                <w:sz w:val="20"/>
                <w:szCs w:val="20"/>
              </w:rPr>
              <w:t>-</w:t>
            </w:r>
            <w:r w:rsidR="00BF6009" w:rsidRPr="005251F3">
              <w:rPr>
                <w:rFonts w:ascii="Arial" w:hAnsi="Arial" w:cs="Arial"/>
                <w:sz w:val="20"/>
                <w:szCs w:val="20"/>
              </w:rPr>
              <w:t xml:space="preserve"> </w:t>
            </w:r>
          </w:p>
        </w:tc>
        <w:tc>
          <w:tcPr>
            <w:tcW w:w="7306" w:type="dxa"/>
            <w:gridSpan w:val="2"/>
            <w:shd w:val="clear" w:color="auto" w:fill="auto"/>
          </w:tcPr>
          <w:p w:rsidR="00A80867" w:rsidRPr="005251F3" w:rsidRDefault="00CF2345" w:rsidP="00EC6527">
            <w:pPr>
              <w:spacing w:before="40" w:line="276" w:lineRule="auto"/>
              <w:jc w:val="both"/>
              <w:rPr>
                <w:rFonts w:ascii="Arial" w:hAnsi="Arial" w:cs="Arial"/>
                <w:sz w:val="20"/>
                <w:szCs w:val="20"/>
              </w:rPr>
            </w:pPr>
            <w:r w:rsidRPr="005251F3">
              <w:rPr>
                <w:rFonts w:ascii="Arial" w:hAnsi="Arial" w:cs="Arial"/>
                <w:sz w:val="20"/>
                <w:szCs w:val="20"/>
              </w:rPr>
              <w:t>wenn</w:t>
            </w:r>
            <w:r w:rsidR="00A80867" w:rsidRPr="005251F3">
              <w:rPr>
                <w:rFonts w:ascii="Arial" w:hAnsi="Arial" w:cs="Arial"/>
                <w:sz w:val="20"/>
                <w:szCs w:val="20"/>
              </w:rPr>
              <w:t xml:space="preserve"> der Auftragnehmer einen rechtsgeschäftlich Bevollmächtigten bestimmt.</w:t>
            </w:r>
          </w:p>
        </w:tc>
      </w:tr>
      <w:tr w:rsidR="00100017" w:rsidRPr="005251F3" w:rsidTr="00061E91">
        <w:trPr>
          <w:cantSplit/>
        </w:trPr>
        <w:tc>
          <w:tcPr>
            <w:tcW w:w="1668" w:type="dxa"/>
            <w:shd w:val="clear" w:color="auto" w:fill="auto"/>
          </w:tcPr>
          <w:p w:rsidR="00100017" w:rsidRPr="005251F3" w:rsidRDefault="00100017" w:rsidP="00EC6527">
            <w:pPr>
              <w:spacing w:before="40" w:line="276" w:lineRule="auto"/>
              <w:rPr>
                <w:rFonts w:ascii="Arial" w:hAnsi="Arial" w:cs="Arial"/>
                <w:b/>
                <w:sz w:val="20"/>
                <w:szCs w:val="20"/>
              </w:rPr>
            </w:pPr>
          </w:p>
        </w:tc>
        <w:tc>
          <w:tcPr>
            <w:tcW w:w="7546" w:type="dxa"/>
            <w:gridSpan w:val="3"/>
            <w:shd w:val="clear" w:color="auto" w:fill="auto"/>
          </w:tcPr>
          <w:p w:rsidR="00100017" w:rsidRPr="005251F3" w:rsidRDefault="00100017" w:rsidP="00EC6527">
            <w:pPr>
              <w:spacing w:before="40" w:line="276" w:lineRule="auto"/>
              <w:jc w:val="both"/>
              <w:rPr>
                <w:rFonts w:ascii="Arial" w:hAnsi="Arial" w:cs="Arial"/>
                <w:sz w:val="20"/>
                <w:szCs w:val="20"/>
              </w:rPr>
            </w:pPr>
          </w:p>
        </w:tc>
      </w:tr>
      <w:tr w:rsidR="002716E6" w:rsidRPr="005251F3" w:rsidTr="00061E91">
        <w:trPr>
          <w:cantSplit/>
        </w:trPr>
        <w:tc>
          <w:tcPr>
            <w:tcW w:w="1668" w:type="dxa"/>
            <w:shd w:val="clear" w:color="auto" w:fill="auto"/>
          </w:tcPr>
          <w:p w:rsidR="002716E6" w:rsidRPr="005251F3" w:rsidRDefault="002250B9" w:rsidP="00EC6527">
            <w:pPr>
              <w:spacing w:before="80" w:line="276" w:lineRule="auto"/>
              <w:rPr>
                <w:rFonts w:ascii="Arial" w:hAnsi="Arial" w:cs="Arial"/>
                <w:color w:val="000000"/>
                <w:sz w:val="20"/>
                <w:szCs w:val="20"/>
              </w:rPr>
            </w:pPr>
            <w:r w:rsidRPr="005251F3">
              <w:rPr>
                <w:rFonts w:ascii="Arial" w:hAnsi="Arial" w:cs="Arial"/>
                <w:b/>
                <w:color w:val="000000"/>
                <w:sz w:val="20"/>
                <w:szCs w:val="20"/>
              </w:rPr>
              <w:t>Zu §</w:t>
            </w:r>
            <w:r w:rsidR="00EC6527" w:rsidRPr="005251F3">
              <w:rPr>
                <w:rFonts w:ascii="Arial" w:hAnsi="Arial" w:cs="Arial"/>
                <w:b/>
                <w:color w:val="000000"/>
                <w:sz w:val="20"/>
                <w:szCs w:val="20"/>
              </w:rPr>
              <w:t> </w:t>
            </w:r>
            <w:r w:rsidRPr="005251F3">
              <w:rPr>
                <w:rFonts w:ascii="Arial" w:hAnsi="Arial" w:cs="Arial"/>
                <w:b/>
                <w:color w:val="000000"/>
                <w:sz w:val="20"/>
                <w:szCs w:val="20"/>
              </w:rPr>
              <w:t>1</w:t>
            </w:r>
          </w:p>
        </w:tc>
        <w:tc>
          <w:tcPr>
            <w:tcW w:w="7546" w:type="dxa"/>
            <w:gridSpan w:val="3"/>
            <w:shd w:val="clear" w:color="auto" w:fill="auto"/>
          </w:tcPr>
          <w:p w:rsidR="00972FDD" w:rsidRPr="005251F3" w:rsidRDefault="00B757C0" w:rsidP="00EC6527">
            <w:pPr>
              <w:spacing w:before="80" w:line="276" w:lineRule="auto"/>
              <w:jc w:val="both"/>
              <w:rPr>
                <w:rFonts w:ascii="Arial" w:hAnsi="Arial" w:cs="Arial"/>
                <w:color w:val="000000"/>
                <w:sz w:val="20"/>
                <w:szCs w:val="20"/>
              </w:rPr>
            </w:pPr>
            <w:r w:rsidRPr="005251F3">
              <w:rPr>
                <w:rFonts w:ascii="Arial" w:hAnsi="Arial" w:cs="Arial"/>
                <w:b/>
                <w:color w:val="000000"/>
                <w:sz w:val="20"/>
                <w:szCs w:val="20"/>
              </w:rPr>
              <w:t>G</w:t>
            </w:r>
            <w:r w:rsidR="00972FDD" w:rsidRPr="005251F3">
              <w:rPr>
                <w:rFonts w:ascii="Arial" w:hAnsi="Arial" w:cs="Arial"/>
                <w:b/>
                <w:color w:val="000000"/>
                <w:sz w:val="20"/>
                <w:szCs w:val="20"/>
              </w:rPr>
              <w:t>egenstand</w:t>
            </w:r>
            <w:r w:rsidRPr="005251F3">
              <w:rPr>
                <w:rFonts w:ascii="Arial" w:hAnsi="Arial" w:cs="Arial"/>
                <w:b/>
                <w:color w:val="000000"/>
                <w:sz w:val="20"/>
                <w:szCs w:val="20"/>
              </w:rPr>
              <w:t xml:space="preserve"> des Vertrages</w:t>
            </w:r>
          </w:p>
          <w:p w:rsidR="006132B7" w:rsidRPr="005251F3" w:rsidRDefault="006132B7" w:rsidP="00EC6527">
            <w:pPr>
              <w:spacing w:before="80" w:line="276" w:lineRule="auto"/>
              <w:jc w:val="both"/>
              <w:rPr>
                <w:rFonts w:ascii="Arial" w:hAnsi="Arial" w:cs="Arial"/>
                <w:color w:val="000000"/>
                <w:sz w:val="20"/>
                <w:szCs w:val="20"/>
              </w:rPr>
            </w:pPr>
            <w:r w:rsidRPr="005251F3">
              <w:rPr>
                <w:rFonts w:ascii="Arial" w:hAnsi="Arial" w:cs="Arial"/>
                <w:color w:val="000000"/>
                <w:sz w:val="20"/>
                <w:szCs w:val="20"/>
              </w:rPr>
              <w:t>Der Vertragsgegenstand ist durch Eintragung der entsprechenden Objekt-/</w:t>
            </w:r>
            <w:r w:rsidR="000C2F32" w:rsidRPr="005251F3">
              <w:rPr>
                <w:rFonts w:ascii="Arial" w:hAnsi="Arial" w:cs="Arial"/>
                <w:color w:val="000000"/>
                <w:sz w:val="20"/>
                <w:szCs w:val="20"/>
              </w:rPr>
              <w:br/>
            </w:r>
            <w:r w:rsidRPr="005251F3">
              <w:rPr>
                <w:rFonts w:ascii="Arial" w:hAnsi="Arial" w:cs="Arial"/>
                <w:color w:val="000000"/>
                <w:sz w:val="20"/>
                <w:szCs w:val="20"/>
              </w:rPr>
              <w:t>Fachplanung unter Nummer</w:t>
            </w:r>
            <w:r w:rsidR="00936C7E" w:rsidRPr="005251F3">
              <w:rPr>
                <w:rFonts w:ascii="Arial" w:hAnsi="Arial" w:cs="Arial"/>
                <w:color w:val="000000"/>
                <w:sz w:val="20"/>
                <w:szCs w:val="20"/>
              </w:rPr>
              <w:t xml:space="preserve"> </w:t>
            </w:r>
            <w:r w:rsidRPr="005251F3">
              <w:rPr>
                <w:rFonts w:ascii="Arial" w:hAnsi="Arial" w:cs="Arial"/>
                <w:color w:val="000000"/>
                <w:sz w:val="20"/>
                <w:szCs w:val="20"/>
              </w:rPr>
              <w:t>1.1 festzulegen und einzutragen. Zusätzlich ist eine Auswahl der Nummern</w:t>
            </w:r>
            <w:r w:rsidR="00936C7E" w:rsidRPr="005251F3">
              <w:rPr>
                <w:rFonts w:ascii="Arial" w:hAnsi="Arial" w:cs="Arial"/>
                <w:color w:val="000000"/>
                <w:sz w:val="20"/>
                <w:szCs w:val="20"/>
              </w:rPr>
              <w:t xml:space="preserve"> </w:t>
            </w:r>
            <w:r w:rsidRPr="005251F3">
              <w:rPr>
                <w:rFonts w:ascii="Arial" w:hAnsi="Arial" w:cs="Arial"/>
                <w:color w:val="000000"/>
                <w:sz w:val="20"/>
                <w:szCs w:val="20"/>
              </w:rPr>
              <w:t xml:space="preserve">1.1.1 bis 1.1.6 zu treffen. </w:t>
            </w:r>
          </w:p>
          <w:p w:rsidR="0096041C" w:rsidRPr="005251F3" w:rsidRDefault="0096041C" w:rsidP="00EC6527">
            <w:pPr>
              <w:spacing w:before="80" w:line="276" w:lineRule="auto"/>
              <w:jc w:val="both"/>
              <w:rPr>
                <w:rFonts w:ascii="Arial" w:hAnsi="Arial" w:cs="Arial"/>
                <w:color w:val="000000"/>
                <w:sz w:val="20"/>
                <w:szCs w:val="20"/>
              </w:rPr>
            </w:pPr>
            <w:r w:rsidRPr="005251F3">
              <w:rPr>
                <w:rFonts w:ascii="Arial" w:hAnsi="Arial" w:cs="Arial"/>
                <w:color w:val="000000"/>
                <w:sz w:val="20"/>
                <w:szCs w:val="20"/>
              </w:rPr>
              <w:t>Bezieht sich der Vertrag auf eine Baumaßnahme mit mehreren Objekten, sind diese in der Anlage zu §</w:t>
            </w:r>
            <w:r w:rsidR="00EC6527" w:rsidRPr="005251F3">
              <w:rPr>
                <w:rFonts w:ascii="Arial" w:hAnsi="Arial" w:cs="Arial"/>
                <w:color w:val="000000"/>
                <w:sz w:val="20"/>
                <w:szCs w:val="20"/>
              </w:rPr>
              <w:t> </w:t>
            </w:r>
            <w:r w:rsidRPr="005251F3">
              <w:rPr>
                <w:rFonts w:ascii="Arial" w:hAnsi="Arial" w:cs="Arial"/>
                <w:color w:val="000000"/>
                <w:sz w:val="20"/>
                <w:szCs w:val="20"/>
              </w:rPr>
              <w:t>1</w:t>
            </w:r>
            <w:r w:rsidR="00936C7E" w:rsidRPr="005251F3">
              <w:rPr>
                <w:rFonts w:ascii="Arial" w:hAnsi="Arial" w:cs="Arial"/>
                <w:color w:val="000000"/>
                <w:sz w:val="20"/>
                <w:szCs w:val="20"/>
              </w:rPr>
              <w:t xml:space="preserve"> Nummer 1.1 aufzuführen.</w:t>
            </w:r>
          </w:p>
          <w:p w:rsidR="0096041C" w:rsidRPr="005251F3" w:rsidRDefault="0096041C" w:rsidP="00EC6527">
            <w:pPr>
              <w:spacing w:before="80" w:line="276" w:lineRule="auto"/>
              <w:jc w:val="both"/>
              <w:rPr>
                <w:rFonts w:ascii="Arial" w:hAnsi="Arial" w:cs="Arial"/>
                <w:color w:val="000000"/>
                <w:sz w:val="20"/>
                <w:szCs w:val="20"/>
              </w:rPr>
            </w:pPr>
            <w:r w:rsidRPr="005251F3">
              <w:rPr>
                <w:rFonts w:ascii="Arial" w:hAnsi="Arial" w:cs="Arial"/>
                <w:color w:val="000000"/>
                <w:sz w:val="20"/>
                <w:szCs w:val="20"/>
              </w:rPr>
              <w:t xml:space="preserve">Wenn dem Auftragnehmer </w:t>
            </w:r>
            <w:r w:rsidR="006132B7" w:rsidRPr="005251F3">
              <w:rPr>
                <w:rFonts w:ascii="Arial" w:hAnsi="Arial" w:cs="Arial"/>
                <w:color w:val="000000"/>
                <w:sz w:val="20"/>
                <w:szCs w:val="20"/>
              </w:rPr>
              <w:t>bei ausschließlicher Beauftragung nach Nummer</w:t>
            </w:r>
            <w:r w:rsidR="00936C7E" w:rsidRPr="005251F3">
              <w:rPr>
                <w:rFonts w:ascii="Arial" w:hAnsi="Arial" w:cs="Arial"/>
                <w:color w:val="000000"/>
                <w:sz w:val="20"/>
                <w:szCs w:val="20"/>
              </w:rPr>
              <w:t xml:space="preserve"> </w:t>
            </w:r>
            <w:r w:rsidR="006132B7" w:rsidRPr="005251F3">
              <w:rPr>
                <w:rFonts w:ascii="Arial" w:hAnsi="Arial" w:cs="Arial"/>
                <w:color w:val="000000"/>
                <w:sz w:val="20"/>
                <w:szCs w:val="20"/>
              </w:rPr>
              <w:t xml:space="preserve">1.1.1 </w:t>
            </w:r>
            <w:r w:rsidRPr="005251F3">
              <w:rPr>
                <w:rFonts w:ascii="Arial" w:hAnsi="Arial" w:cs="Arial"/>
                <w:color w:val="000000"/>
                <w:sz w:val="20"/>
                <w:szCs w:val="20"/>
              </w:rPr>
              <w:t>auch Grundleistungen für Freianlagen mit weniger als 7</w:t>
            </w:r>
            <w:r w:rsidR="00936C7E" w:rsidRPr="005251F3">
              <w:rPr>
                <w:rFonts w:ascii="Arial" w:hAnsi="Arial" w:cs="Arial"/>
                <w:color w:val="000000"/>
                <w:sz w:val="20"/>
                <w:szCs w:val="20"/>
              </w:rPr>
              <w:t> </w:t>
            </w:r>
            <w:r w:rsidRPr="005251F3">
              <w:rPr>
                <w:rFonts w:ascii="Arial" w:hAnsi="Arial" w:cs="Arial"/>
                <w:color w:val="000000"/>
                <w:sz w:val="20"/>
                <w:szCs w:val="20"/>
              </w:rPr>
              <w:t>500 Euro anrechenbaren Kosten übertragen werden sollen, so ist dies unter §</w:t>
            </w:r>
            <w:r w:rsidR="00EC6527" w:rsidRPr="005251F3">
              <w:rPr>
                <w:rFonts w:ascii="Arial" w:hAnsi="Arial" w:cs="Arial"/>
                <w:color w:val="000000"/>
                <w:sz w:val="20"/>
                <w:szCs w:val="20"/>
              </w:rPr>
              <w:t> </w:t>
            </w:r>
            <w:r w:rsidRPr="005251F3">
              <w:rPr>
                <w:rFonts w:ascii="Arial" w:hAnsi="Arial" w:cs="Arial"/>
                <w:color w:val="000000"/>
                <w:sz w:val="20"/>
                <w:szCs w:val="20"/>
              </w:rPr>
              <w:t>1</w:t>
            </w:r>
            <w:r w:rsidR="00936C7E" w:rsidRPr="005251F3">
              <w:rPr>
                <w:rFonts w:ascii="Arial" w:hAnsi="Arial" w:cs="Arial"/>
                <w:color w:val="000000"/>
                <w:sz w:val="20"/>
                <w:szCs w:val="20"/>
              </w:rPr>
              <w:t xml:space="preserve"> </w:t>
            </w:r>
            <w:r w:rsidRPr="005251F3">
              <w:rPr>
                <w:rFonts w:ascii="Arial" w:hAnsi="Arial" w:cs="Arial"/>
                <w:color w:val="000000"/>
                <w:sz w:val="20"/>
                <w:szCs w:val="20"/>
              </w:rPr>
              <w:t>Nummer</w:t>
            </w:r>
            <w:r w:rsidR="00936C7E" w:rsidRPr="005251F3">
              <w:rPr>
                <w:rFonts w:ascii="Arial" w:hAnsi="Arial" w:cs="Arial"/>
                <w:color w:val="000000"/>
                <w:sz w:val="20"/>
                <w:szCs w:val="20"/>
              </w:rPr>
              <w:t xml:space="preserve"> 1.3 anzukreuzen.</w:t>
            </w:r>
          </w:p>
          <w:p w:rsidR="002E7516" w:rsidRPr="005251F3" w:rsidRDefault="0096041C" w:rsidP="00213FFD">
            <w:pPr>
              <w:spacing w:before="80" w:line="276" w:lineRule="auto"/>
              <w:jc w:val="both"/>
              <w:rPr>
                <w:rFonts w:ascii="Arial" w:hAnsi="Arial" w:cs="Arial"/>
                <w:color w:val="000000"/>
                <w:sz w:val="20"/>
                <w:szCs w:val="20"/>
              </w:rPr>
            </w:pPr>
            <w:r w:rsidRPr="005251F3">
              <w:rPr>
                <w:rFonts w:ascii="Arial" w:hAnsi="Arial" w:cs="Arial"/>
                <w:color w:val="000000"/>
                <w:sz w:val="20"/>
                <w:szCs w:val="20"/>
              </w:rPr>
              <w:t>Für Freianlagen mit mehr als 7</w:t>
            </w:r>
            <w:r w:rsidR="00213FFD" w:rsidRPr="005251F3">
              <w:rPr>
                <w:rFonts w:ascii="Arial" w:hAnsi="Arial" w:cs="Arial"/>
                <w:color w:val="000000"/>
                <w:sz w:val="20"/>
                <w:szCs w:val="20"/>
              </w:rPr>
              <w:t> </w:t>
            </w:r>
            <w:r w:rsidRPr="005251F3">
              <w:rPr>
                <w:rFonts w:ascii="Arial" w:hAnsi="Arial" w:cs="Arial"/>
                <w:color w:val="000000"/>
                <w:sz w:val="20"/>
                <w:szCs w:val="20"/>
              </w:rPr>
              <w:t>500 Euro anrechenbare Kosten sind gesonderte Verträge nach V</w:t>
            </w:r>
            <w:r w:rsidR="00C840D0" w:rsidRPr="005251F3">
              <w:rPr>
                <w:rFonts w:ascii="Arial" w:hAnsi="Arial" w:cs="Arial"/>
                <w:color w:val="000000"/>
                <w:sz w:val="20"/>
                <w:szCs w:val="20"/>
              </w:rPr>
              <w:t>II.13.H</w:t>
            </w:r>
            <w:r w:rsidR="00936C7E" w:rsidRPr="005251F3">
              <w:rPr>
                <w:rFonts w:ascii="Arial" w:hAnsi="Arial" w:cs="Arial"/>
                <w:color w:val="000000"/>
                <w:sz w:val="20"/>
                <w:szCs w:val="20"/>
              </w:rPr>
              <w:t xml:space="preserve"> </w:t>
            </w:r>
            <w:r w:rsidR="00C840D0" w:rsidRPr="005251F3">
              <w:rPr>
                <w:rFonts w:ascii="Arial" w:hAnsi="Arial" w:cs="Arial"/>
                <w:color w:val="000000"/>
                <w:sz w:val="20"/>
                <w:szCs w:val="20"/>
              </w:rPr>
              <w:t>VHF (Vertrag</w:t>
            </w:r>
            <w:r w:rsidR="00FD0D8A" w:rsidRPr="005251F3">
              <w:rPr>
                <w:rFonts w:ascii="Arial" w:hAnsi="Arial" w:cs="Arial"/>
                <w:color w:val="000000"/>
                <w:sz w:val="20"/>
                <w:szCs w:val="20"/>
              </w:rPr>
              <w:t xml:space="preserve"> </w:t>
            </w:r>
            <w:r w:rsidR="00943104" w:rsidRPr="005251F3">
              <w:rPr>
                <w:rFonts w:ascii="Arial" w:hAnsi="Arial" w:cs="Arial"/>
                <w:color w:val="000000"/>
                <w:sz w:val="20"/>
                <w:szCs w:val="20"/>
              </w:rPr>
              <w:t xml:space="preserve">Objektplanung – </w:t>
            </w:r>
            <w:r w:rsidRPr="005251F3">
              <w:rPr>
                <w:rFonts w:ascii="Arial" w:hAnsi="Arial" w:cs="Arial"/>
                <w:color w:val="000000"/>
                <w:sz w:val="20"/>
                <w:szCs w:val="20"/>
              </w:rPr>
              <w:t>Frei</w:t>
            </w:r>
            <w:r w:rsidR="00FD0D8A" w:rsidRPr="005251F3">
              <w:rPr>
                <w:rFonts w:ascii="Arial" w:hAnsi="Arial" w:cs="Arial"/>
                <w:color w:val="000000"/>
                <w:sz w:val="20"/>
                <w:szCs w:val="20"/>
              </w:rPr>
              <w:t>anlagen</w:t>
            </w:r>
            <w:r w:rsidR="00C840D0" w:rsidRPr="005251F3">
              <w:rPr>
                <w:rFonts w:ascii="Arial" w:hAnsi="Arial" w:cs="Arial"/>
                <w:color w:val="000000"/>
                <w:sz w:val="20"/>
                <w:szCs w:val="20"/>
              </w:rPr>
              <w:t>)</w:t>
            </w:r>
            <w:r w:rsidRPr="005251F3">
              <w:rPr>
                <w:rFonts w:ascii="Arial" w:hAnsi="Arial" w:cs="Arial"/>
                <w:color w:val="000000"/>
                <w:sz w:val="20"/>
                <w:szCs w:val="20"/>
              </w:rPr>
              <w:t xml:space="preserve"> abzuschließen.</w:t>
            </w:r>
          </w:p>
        </w:tc>
      </w:tr>
      <w:tr w:rsidR="00AB4F08" w:rsidRPr="005251F3" w:rsidTr="00061E91">
        <w:trPr>
          <w:cantSplit/>
        </w:trPr>
        <w:tc>
          <w:tcPr>
            <w:tcW w:w="1668" w:type="dxa"/>
            <w:shd w:val="clear" w:color="auto" w:fill="auto"/>
          </w:tcPr>
          <w:p w:rsidR="00AB4F08" w:rsidRPr="005251F3" w:rsidRDefault="00AB4F08" w:rsidP="00EC6527">
            <w:pPr>
              <w:spacing w:before="80" w:line="276" w:lineRule="auto"/>
              <w:rPr>
                <w:rFonts w:ascii="Arial" w:hAnsi="Arial" w:cs="Arial"/>
                <w:b/>
                <w:color w:val="000000"/>
                <w:sz w:val="20"/>
                <w:szCs w:val="20"/>
              </w:rPr>
            </w:pPr>
          </w:p>
        </w:tc>
        <w:tc>
          <w:tcPr>
            <w:tcW w:w="7546" w:type="dxa"/>
            <w:gridSpan w:val="3"/>
            <w:shd w:val="clear" w:color="auto" w:fill="auto"/>
          </w:tcPr>
          <w:p w:rsidR="00AB4F08" w:rsidRPr="005251F3" w:rsidRDefault="00AB4F08" w:rsidP="00EC6527">
            <w:pPr>
              <w:spacing w:before="80" w:line="276" w:lineRule="auto"/>
              <w:jc w:val="both"/>
              <w:rPr>
                <w:rFonts w:ascii="Arial" w:hAnsi="Arial" w:cs="Arial"/>
                <w:b/>
                <w:color w:val="000000"/>
                <w:sz w:val="20"/>
                <w:szCs w:val="20"/>
              </w:rPr>
            </w:pPr>
          </w:p>
        </w:tc>
      </w:tr>
      <w:tr w:rsidR="0052573C" w:rsidRPr="005251F3" w:rsidTr="00061E91">
        <w:trPr>
          <w:cantSplit/>
        </w:trPr>
        <w:tc>
          <w:tcPr>
            <w:tcW w:w="1668" w:type="dxa"/>
            <w:shd w:val="clear" w:color="auto" w:fill="auto"/>
          </w:tcPr>
          <w:p w:rsidR="0052573C" w:rsidRPr="005251F3" w:rsidRDefault="00EC6527" w:rsidP="00EC6527">
            <w:pPr>
              <w:spacing w:before="80" w:line="276" w:lineRule="auto"/>
              <w:rPr>
                <w:rFonts w:ascii="Arial" w:hAnsi="Arial" w:cs="Arial"/>
                <w:sz w:val="20"/>
                <w:szCs w:val="20"/>
              </w:rPr>
            </w:pPr>
            <w:r w:rsidRPr="005251F3">
              <w:rPr>
                <w:rFonts w:ascii="Arial" w:hAnsi="Arial" w:cs="Arial"/>
                <w:b/>
                <w:sz w:val="20"/>
                <w:szCs w:val="20"/>
              </w:rPr>
              <w:t>Zu § </w:t>
            </w:r>
            <w:r w:rsidR="0052573C" w:rsidRPr="005251F3">
              <w:rPr>
                <w:rFonts w:ascii="Arial" w:hAnsi="Arial" w:cs="Arial"/>
                <w:b/>
                <w:sz w:val="20"/>
                <w:szCs w:val="20"/>
              </w:rPr>
              <w:t xml:space="preserve">3 </w:t>
            </w:r>
          </w:p>
        </w:tc>
        <w:tc>
          <w:tcPr>
            <w:tcW w:w="7546" w:type="dxa"/>
            <w:gridSpan w:val="3"/>
            <w:shd w:val="clear" w:color="auto" w:fill="auto"/>
          </w:tcPr>
          <w:p w:rsidR="00972FDD" w:rsidRPr="005251F3" w:rsidRDefault="0096041C" w:rsidP="00EC6527">
            <w:pPr>
              <w:spacing w:before="80" w:line="276" w:lineRule="auto"/>
              <w:jc w:val="both"/>
              <w:rPr>
                <w:rFonts w:ascii="Arial" w:hAnsi="Arial" w:cs="Arial"/>
                <w:sz w:val="20"/>
                <w:szCs w:val="20"/>
              </w:rPr>
            </w:pPr>
            <w:r w:rsidRPr="005251F3">
              <w:rPr>
                <w:rFonts w:ascii="Arial" w:hAnsi="Arial" w:cs="Arial"/>
                <w:b/>
                <w:sz w:val="20"/>
                <w:szCs w:val="20"/>
              </w:rPr>
              <w:t>Übergabe von Vertragsunterlagen</w:t>
            </w:r>
          </w:p>
          <w:p w:rsidR="002E7516" w:rsidRPr="005251F3" w:rsidRDefault="0043079C" w:rsidP="00EC6527">
            <w:pPr>
              <w:spacing w:before="80" w:line="276" w:lineRule="auto"/>
              <w:jc w:val="both"/>
              <w:rPr>
                <w:rFonts w:ascii="Arial" w:hAnsi="Arial" w:cs="Arial"/>
                <w:sz w:val="20"/>
                <w:szCs w:val="20"/>
              </w:rPr>
            </w:pPr>
            <w:r w:rsidRPr="005251F3">
              <w:rPr>
                <w:rFonts w:ascii="Arial" w:hAnsi="Arial" w:cs="Arial"/>
                <w:sz w:val="20"/>
                <w:szCs w:val="20"/>
              </w:rPr>
              <w:t>Die</w:t>
            </w:r>
            <w:r w:rsidR="0096041C" w:rsidRPr="005251F3">
              <w:rPr>
                <w:rFonts w:ascii="Arial" w:hAnsi="Arial" w:cs="Arial"/>
                <w:sz w:val="20"/>
                <w:szCs w:val="20"/>
              </w:rPr>
              <w:t xml:space="preserve"> für die Vertragsleistung maßgeblichen Unterlagen sind aufzulisten und dem Auftragnehmer in der erforderlichen Anzahl zu übergeben</w:t>
            </w:r>
            <w:r w:rsidR="00BE61DC" w:rsidRPr="005251F3">
              <w:rPr>
                <w:rFonts w:ascii="Arial" w:hAnsi="Arial" w:cs="Arial"/>
                <w:sz w:val="20"/>
                <w:szCs w:val="20"/>
              </w:rPr>
              <w:t>.</w:t>
            </w:r>
          </w:p>
        </w:tc>
      </w:tr>
      <w:tr w:rsidR="00AB4F08" w:rsidRPr="005251F3" w:rsidTr="00061E91">
        <w:trPr>
          <w:cantSplit/>
        </w:trPr>
        <w:tc>
          <w:tcPr>
            <w:tcW w:w="1668" w:type="dxa"/>
            <w:shd w:val="clear" w:color="auto" w:fill="auto"/>
          </w:tcPr>
          <w:p w:rsidR="00AB4F08" w:rsidRPr="005251F3" w:rsidRDefault="00AB4F08" w:rsidP="00EC6527">
            <w:pPr>
              <w:spacing w:before="80" w:line="276" w:lineRule="auto"/>
              <w:rPr>
                <w:rFonts w:ascii="Arial" w:hAnsi="Arial" w:cs="Arial"/>
                <w:b/>
                <w:sz w:val="20"/>
                <w:szCs w:val="20"/>
              </w:rPr>
            </w:pPr>
          </w:p>
        </w:tc>
        <w:tc>
          <w:tcPr>
            <w:tcW w:w="7546" w:type="dxa"/>
            <w:gridSpan w:val="3"/>
            <w:shd w:val="clear" w:color="auto" w:fill="auto"/>
          </w:tcPr>
          <w:p w:rsidR="00AB4F08" w:rsidRPr="005251F3" w:rsidRDefault="00AB4F08" w:rsidP="00EC6527">
            <w:pPr>
              <w:spacing w:before="80" w:line="276" w:lineRule="auto"/>
              <w:jc w:val="both"/>
              <w:rPr>
                <w:rFonts w:ascii="Arial" w:hAnsi="Arial" w:cs="Arial"/>
                <w:b/>
                <w:sz w:val="20"/>
                <w:szCs w:val="20"/>
              </w:rPr>
            </w:pPr>
          </w:p>
        </w:tc>
      </w:tr>
      <w:tr w:rsidR="0052573C" w:rsidRPr="005251F3" w:rsidTr="00061E91">
        <w:trPr>
          <w:cantSplit/>
        </w:trPr>
        <w:tc>
          <w:tcPr>
            <w:tcW w:w="1668" w:type="dxa"/>
            <w:shd w:val="clear" w:color="auto" w:fill="auto"/>
          </w:tcPr>
          <w:p w:rsidR="0096041C" w:rsidRPr="005251F3" w:rsidRDefault="00EC6527" w:rsidP="00EC6527">
            <w:pPr>
              <w:spacing w:before="80" w:line="276" w:lineRule="auto"/>
              <w:rPr>
                <w:rFonts w:ascii="Arial" w:hAnsi="Arial" w:cs="Arial"/>
                <w:sz w:val="20"/>
                <w:szCs w:val="20"/>
              </w:rPr>
            </w:pPr>
            <w:r w:rsidRPr="005251F3">
              <w:rPr>
                <w:rFonts w:ascii="Arial" w:hAnsi="Arial" w:cs="Arial"/>
                <w:b/>
                <w:sz w:val="20"/>
                <w:szCs w:val="20"/>
              </w:rPr>
              <w:t>Zu § </w:t>
            </w:r>
            <w:r w:rsidR="00D36142" w:rsidRPr="005251F3">
              <w:rPr>
                <w:rFonts w:ascii="Arial" w:hAnsi="Arial" w:cs="Arial"/>
                <w:b/>
                <w:sz w:val="20"/>
                <w:szCs w:val="20"/>
              </w:rPr>
              <w:t>4</w:t>
            </w:r>
          </w:p>
        </w:tc>
        <w:tc>
          <w:tcPr>
            <w:tcW w:w="7546" w:type="dxa"/>
            <w:gridSpan w:val="3"/>
            <w:shd w:val="clear" w:color="auto" w:fill="auto"/>
          </w:tcPr>
          <w:p w:rsidR="00D36142" w:rsidRPr="005251F3" w:rsidRDefault="0096041C" w:rsidP="00EC6527">
            <w:pPr>
              <w:spacing w:before="80" w:line="276" w:lineRule="auto"/>
              <w:jc w:val="both"/>
              <w:rPr>
                <w:rFonts w:ascii="Arial" w:hAnsi="Arial" w:cs="Arial"/>
                <w:sz w:val="20"/>
                <w:szCs w:val="20"/>
              </w:rPr>
            </w:pPr>
            <w:r w:rsidRPr="005251F3">
              <w:rPr>
                <w:rFonts w:ascii="Arial" w:hAnsi="Arial" w:cs="Arial"/>
                <w:b/>
                <w:sz w:val="20"/>
                <w:szCs w:val="20"/>
              </w:rPr>
              <w:t>Leistungspflichten</w:t>
            </w:r>
            <w:r w:rsidR="00D47517" w:rsidRPr="005251F3">
              <w:rPr>
                <w:rFonts w:ascii="Arial" w:hAnsi="Arial" w:cs="Arial"/>
                <w:b/>
                <w:sz w:val="20"/>
                <w:szCs w:val="20"/>
              </w:rPr>
              <w:t xml:space="preserve"> des Auftragnehmers</w:t>
            </w:r>
          </w:p>
          <w:p w:rsidR="002E7516" w:rsidRPr="005251F3" w:rsidRDefault="00D47517" w:rsidP="00EC6527">
            <w:pPr>
              <w:spacing w:before="80" w:line="276" w:lineRule="auto"/>
              <w:jc w:val="both"/>
              <w:rPr>
                <w:rFonts w:ascii="Arial" w:hAnsi="Arial" w:cs="Arial"/>
                <w:sz w:val="20"/>
                <w:szCs w:val="20"/>
              </w:rPr>
            </w:pPr>
            <w:r w:rsidRPr="005251F3">
              <w:rPr>
                <w:rFonts w:ascii="Arial" w:hAnsi="Arial" w:cs="Arial"/>
                <w:sz w:val="20"/>
                <w:szCs w:val="20"/>
              </w:rPr>
              <w:t>Im Vertrag bzw. in der</w:t>
            </w:r>
            <w:r w:rsidR="006132B7" w:rsidRPr="005251F3">
              <w:rPr>
                <w:rFonts w:ascii="Arial" w:hAnsi="Arial" w:cs="Arial"/>
                <w:sz w:val="20"/>
                <w:szCs w:val="20"/>
              </w:rPr>
              <w:t>/den</w:t>
            </w:r>
            <w:r w:rsidRPr="005251F3">
              <w:rPr>
                <w:rFonts w:ascii="Arial" w:hAnsi="Arial" w:cs="Arial"/>
                <w:sz w:val="20"/>
                <w:szCs w:val="20"/>
              </w:rPr>
              <w:t xml:space="preserve"> Anlage</w:t>
            </w:r>
            <w:r w:rsidR="006132B7" w:rsidRPr="005251F3">
              <w:rPr>
                <w:rFonts w:ascii="Arial" w:hAnsi="Arial" w:cs="Arial"/>
                <w:sz w:val="20"/>
                <w:szCs w:val="20"/>
              </w:rPr>
              <w:t>(n)</w:t>
            </w:r>
            <w:r w:rsidRPr="005251F3">
              <w:rPr>
                <w:rFonts w:ascii="Arial" w:hAnsi="Arial" w:cs="Arial"/>
                <w:sz w:val="20"/>
                <w:szCs w:val="20"/>
              </w:rPr>
              <w:t xml:space="preserve"> zu §</w:t>
            </w:r>
            <w:r w:rsidR="00EC6527" w:rsidRPr="005251F3">
              <w:rPr>
                <w:rFonts w:ascii="Arial" w:hAnsi="Arial" w:cs="Arial"/>
                <w:sz w:val="20"/>
                <w:szCs w:val="20"/>
              </w:rPr>
              <w:t> </w:t>
            </w:r>
            <w:r w:rsidRPr="005251F3">
              <w:rPr>
                <w:rFonts w:ascii="Arial" w:hAnsi="Arial" w:cs="Arial"/>
                <w:sz w:val="20"/>
                <w:szCs w:val="20"/>
              </w:rPr>
              <w:t xml:space="preserve">6 </w:t>
            </w:r>
            <w:r w:rsidR="0043079C" w:rsidRPr="005251F3">
              <w:rPr>
                <w:rFonts w:ascii="Arial" w:hAnsi="Arial" w:cs="Arial"/>
                <w:sz w:val="20"/>
                <w:szCs w:val="20"/>
              </w:rPr>
              <w:t xml:space="preserve">sind die </w:t>
            </w:r>
            <w:r w:rsidR="00BE61DC" w:rsidRPr="005251F3">
              <w:rPr>
                <w:rFonts w:ascii="Arial" w:hAnsi="Arial" w:cs="Arial"/>
                <w:sz w:val="20"/>
                <w:szCs w:val="20"/>
              </w:rPr>
              <w:t>spezifische</w:t>
            </w:r>
            <w:r w:rsidR="0043079C" w:rsidRPr="005251F3">
              <w:rPr>
                <w:rFonts w:ascii="Arial" w:hAnsi="Arial" w:cs="Arial"/>
                <w:sz w:val="20"/>
                <w:szCs w:val="20"/>
              </w:rPr>
              <w:t>n</w:t>
            </w:r>
            <w:r w:rsidR="00BE61DC" w:rsidRPr="005251F3">
              <w:rPr>
                <w:rFonts w:ascii="Arial" w:hAnsi="Arial" w:cs="Arial"/>
                <w:sz w:val="20"/>
                <w:szCs w:val="20"/>
              </w:rPr>
              <w:t xml:space="preserve"> Leistungspflichten</w:t>
            </w:r>
            <w:r w:rsidRPr="005251F3">
              <w:rPr>
                <w:rFonts w:ascii="Arial" w:hAnsi="Arial" w:cs="Arial"/>
                <w:sz w:val="20"/>
                <w:szCs w:val="20"/>
              </w:rPr>
              <w:t xml:space="preserve"> zu kennzeichnen/aufzuführen, deren Übertragung an den Auftrag</w:t>
            </w:r>
            <w:r w:rsidR="00BE61DC" w:rsidRPr="005251F3">
              <w:rPr>
                <w:rFonts w:ascii="Arial" w:hAnsi="Arial" w:cs="Arial"/>
                <w:sz w:val="20"/>
                <w:szCs w:val="20"/>
              </w:rPr>
              <w:t xml:space="preserve">nehmer </w:t>
            </w:r>
            <w:r w:rsidRPr="005251F3">
              <w:rPr>
                <w:rFonts w:ascii="Arial" w:hAnsi="Arial" w:cs="Arial"/>
                <w:sz w:val="20"/>
                <w:szCs w:val="20"/>
              </w:rPr>
              <w:t>vorgesehen ist.</w:t>
            </w:r>
          </w:p>
        </w:tc>
      </w:tr>
      <w:tr w:rsidR="00AB4F08" w:rsidRPr="005251F3" w:rsidTr="00061E91">
        <w:trPr>
          <w:cantSplit/>
        </w:trPr>
        <w:tc>
          <w:tcPr>
            <w:tcW w:w="1668" w:type="dxa"/>
            <w:shd w:val="clear" w:color="auto" w:fill="auto"/>
          </w:tcPr>
          <w:p w:rsidR="00AB4F08" w:rsidRPr="005251F3" w:rsidRDefault="00AB4F08" w:rsidP="00EC6527">
            <w:pPr>
              <w:spacing w:before="80" w:line="276" w:lineRule="auto"/>
              <w:rPr>
                <w:rFonts w:ascii="Arial" w:hAnsi="Arial" w:cs="Arial"/>
                <w:b/>
                <w:sz w:val="20"/>
                <w:szCs w:val="20"/>
              </w:rPr>
            </w:pPr>
          </w:p>
        </w:tc>
        <w:tc>
          <w:tcPr>
            <w:tcW w:w="7546" w:type="dxa"/>
            <w:gridSpan w:val="3"/>
            <w:shd w:val="clear" w:color="auto" w:fill="auto"/>
          </w:tcPr>
          <w:p w:rsidR="00AB4F08" w:rsidRPr="005251F3" w:rsidRDefault="00AB4F08" w:rsidP="00EC6527">
            <w:pPr>
              <w:spacing w:before="80" w:line="276" w:lineRule="auto"/>
              <w:jc w:val="both"/>
              <w:rPr>
                <w:rFonts w:ascii="Arial" w:hAnsi="Arial" w:cs="Arial"/>
                <w:b/>
                <w:sz w:val="20"/>
                <w:szCs w:val="20"/>
              </w:rPr>
            </w:pPr>
          </w:p>
        </w:tc>
      </w:tr>
      <w:tr w:rsidR="00DF2047" w:rsidRPr="005251F3" w:rsidTr="00061E91">
        <w:trPr>
          <w:cantSplit/>
        </w:trPr>
        <w:tc>
          <w:tcPr>
            <w:tcW w:w="1668" w:type="dxa"/>
            <w:shd w:val="clear" w:color="auto" w:fill="auto"/>
          </w:tcPr>
          <w:p w:rsidR="00972FDD" w:rsidRPr="005251F3" w:rsidRDefault="005975AA" w:rsidP="00EC6527">
            <w:pPr>
              <w:spacing w:before="80" w:line="276" w:lineRule="auto"/>
              <w:rPr>
                <w:rFonts w:ascii="Arial" w:hAnsi="Arial" w:cs="Arial"/>
                <w:b/>
                <w:sz w:val="20"/>
                <w:szCs w:val="20"/>
              </w:rPr>
            </w:pPr>
            <w:r w:rsidRPr="005251F3">
              <w:rPr>
                <w:rFonts w:ascii="Arial" w:hAnsi="Arial" w:cs="Arial"/>
                <w:b/>
                <w:sz w:val="20"/>
                <w:szCs w:val="20"/>
              </w:rPr>
              <w:t xml:space="preserve">Zu </w:t>
            </w:r>
            <w:r w:rsidR="00EC6527" w:rsidRPr="005251F3">
              <w:rPr>
                <w:rFonts w:ascii="Arial" w:hAnsi="Arial" w:cs="Arial"/>
                <w:b/>
                <w:sz w:val="20"/>
                <w:szCs w:val="20"/>
              </w:rPr>
              <w:t>§ </w:t>
            </w:r>
            <w:r w:rsidR="00F03971" w:rsidRPr="005251F3">
              <w:rPr>
                <w:rFonts w:ascii="Arial" w:hAnsi="Arial" w:cs="Arial"/>
                <w:b/>
                <w:sz w:val="20"/>
                <w:szCs w:val="20"/>
              </w:rPr>
              <w:t>5</w:t>
            </w:r>
          </w:p>
          <w:p w:rsidR="00D47517" w:rsidRPr="005251F3" w:rsidRDefault="003D18F6" w:rsidP="00936C7E">
            <w:pPr>
              <w:spacing w:before="120" w:line="276" w:lineRule="auto"/>
              <w:ind w:firstLine="550"/>
              <w:rPr>
                <w:rFonts w:ascii="Arial" w:hAnsi="Arial" w:cs="Arial"/>
                <w:b/>
                <w:sz w:val="20"/>
                <w:szCs w:val="20"/>
              </w:rPr>
            </w:pPr>
            <w:r w:rsidRPr="005251F3">
              <w:rPr>
                <w:rFonts w:ascii="Arial" w:hAnsi="Arial" w:cs="Arial"/>
                <w:b/>
                <w:sz w:val="20"/>
                <w:szCs w:val="20"/>
              </w:rPr>
              <w:t>Zu 5.1</w:t>
            </w:r>
          </w:p>
        </w:tc>
        <w:tc>
          <w:tcPr>
            <w:tcW w:w="7546" w:type="dxa"/>
            <w:gridSpan w:val="3"/>
            <w:shd w:val="clear" w:color="auto" w:fill="auto"/>
          </w:tcPr>
          <w:p w:rsidR="00F03971" w:rsidRPr="005251F3" w:rsidRDefault="00972FDD" w:rsidP="00EC6527">
            <w:pPr>
              <w:spacing w:before="80" w:line="276" w:lineRule="auto"/>
              <w:jc w:val="both"/>
              <w:rPr>
                <w:rFonts w:ascii="Arial" w:hAnsi="Arial" w:cs="Arial"/>
                <w:sz w:val="20"/>
                <w:szCs w:val="20"/>
              </w:rPr>
            </w:pPr>
            <w:r w:rsidRPr="005251F3">
              <w:rPr>
                <w:rFonts w:ascii="Arial" w:hAnsi="Arial" w:cs="Arial"/>
                <w:b/>
                <w:sz w:val="20"/>
                <w:szCs w:val="20"/>
              </w:rPr>
              <w:t>Allgemeine Leistungspflichten</w:t>
            </w:r>
          </w:p>
          <w:p w:rsidR="00FC1B5A" w:rsidRPr="005251F3" w:rsidRDefault="00D838DE" w:rsidP="00EC6527">
            <w:pPr>
              <w:spacing w:before="80" w:line="276" w:lineRule="auto"/>
              <w:jc w:val="both"/>
              <w:rPr>
                <w:rFonts w:ascii="Arial" w:hAnsi="Arial" w:cs="Arial"/>
                <w:b/>
                <w:color w:val="000000"/>
                <w:sz w:val="20"/>
                <w:szCs w:val="20"/>
              </w:rPr>
            </w:pPr>
            <w:r w:rsidRPr="005251F3">
              <w:rPr>
                <w:rFonts w:ascii="Arial" w:hAnsi="Arial" w:cs="Arial"/>
                <w:b/>
                <w:color w:val="000000"/>
                <w:sz w:val="20"/>
                <w:szCs w:val="20"/>
              </w:rPr>
              <w:t>Planungs- und Überwachungsziele</w:t>
            </w:r>
          </w:p>
          <w:p w:rsidR="00DF2047" w:rsidRPr="005251F3" w:rsidRDefault="00D838DE" w:rsidP="00936C7E">
            <w:pPr>
              <w:spacing w:before="80" w:line="276" w:lineRule="auto"/>
              <w:jc w:val="both"/>
              <w:rPr>
                <w:rFonts w:ascii="Arial" w:hAnsi="Arial" w:cs="Arial"/>
                <w:sz w:val="20"/>
                <w:szCs w:val="20"/>
              </w:rPr>
            </w:pPr>
            <w:r w:rsidRPr="005251F3">
              <w:rPr>
                <w:rFonts w:ascii="Arial" w:hAnsi="Arial" w:cs="Arial"/>
                <w:color w:val="000000"/>
                <w:sz w:val="20"/>
                <w:szCs w:val="20"/>
              </w:rPr>
              <w:t>Für den Architekten- und Ingenieurvertrag sieht §</w:t>
            </w:r>
            <w:r w:rsidR="00EC6527" w:rsidRPr="005251F3">
              <w:rPr>
                <w:rFonts w:ascii="Arial" w:hAnsi="Arial" w:cs="Arial"/>
                <w:color w:val="000000"/>
                <w:sz w:val="20"/>
                <w:szCs w:val="20"/>
              </w:rPr>
              <w:t> </w:t>
            </w:r>
            <w:r w:rsidRPr="005251F3">
              <w:rPr>
                <w:rFonts w:ascii="Arial" w:hAnsi="Arial" w:cs="Arial"/>
                <w:color w:val="000000"/>
                <w:sz w:val="20"/>
                <w:szCs w:val="20"/>
              </w:rPr>
              <w:t>650p</w:t>
            </w:r>
            <w:r w:rsidR="00EC6527" w:rsidRPr="005251F3">
              <w:rPr>
                <w:rFonts w:ascii="Arial" w:hAnsi="Arial" w:cs="Arial"/>
                <w:color w:val="000000"/>
                <w:sz w:val="20"/>
                <w:szCs w:val="20"/>
              </w:rPr>
              <w:t xml:space="preserve"> </w:t>
            </w:r>
            <w:r w:rsidRPr="005251F3">
              <w:rPr>
                <w:rFonts w:ascii="Arial" w:hAnsi="Arial" w:cs="Arial"/>
                <w:color w:val="000000"/>
                <w:sz w:val="20"/>
                <w:szCs w:val="20"/>
              </w:rPr>
              <w:t>Abs.</w:t>
            </w:r>
            <w:r w:rsidR="00936C7E" w:rsidRPr="005251F3">
              <w:rPr>
                <w:rFonts w:ascii="Arial" w:hAnsi="Arial" w:cs="Arial"/>
                <w:color w:val="000000"/>
                <w:sz w:val="20"/>
                <w:szCs w:val="20"/>
              </w:rPr>
              <w:t xml:space="preserve"> 1 </w:t>
            </w:r>
            <w:r w:rsidRPr="005251F3">
              <w:rPr>
                <w:rFonts w:ascii="Arial" w:hAnsi="Arial" w:cs="Arial"/>
                <w:color w:val="000000"/>
                <w:sz w:val="20"/>
                <w:szCs w:val="20"/>
              </w:rPr>
              <w:t>BGB vor, dass der Auftragnehmer verpflichtet ist, die Leistungen zu erbringen, die nach dem jeweiligen Stand der Planung und Ausführung erforderlich sind, um die zwischen den Parteien vereinbarten Planungs- und Überwachungsziele zu erreichen. Die vereinbarten Planungs- und Überwachungsziele und damit die Beschaffenheit der Architekten</w:t>
            </w:r>
            <w:r w:rsidR="003B2715" w:rsidRPr="005251F3">
              <w:rPr>
                <w:rFonts w:ascii="Arial" w:hAnsi="Arial" w:cs="Arial"/>
                <w:color w:val="000000"/>
                <w:sz w:val="20"/>
                <w:szCs w:val="20"/>
              </w:rPr>
              <w:t>-/Ingenieur</w:t>
            </w:r>
            <w:r w:rsidR="00EC6527" w:rsidRPr="005251F3">
              <w:rPr>
                <w:rFonts w:ascii="Arial" w:hAnsi="Arial" w:cs="Arial"/>
                <w:color w:val="000000"/>
                <w:sz w:val="20"/>
                <w:szCs w:val="20"/>
              </w:rPr>
              <w:t>leistung sind in den §§ 5 und 6 sowie der Anlage zu § </w:t>
            </w:r>
            <w:r w:rsidRPr="005251F3">
              <w:rPr>
                <w:rFonts w:ascii="Arial" w:hAnsi="Arial" w:cs="Arial"/>
                <w:color w:val="000000"/>
                <w:sz w:val="20"/>
                <w:szCs w:val="20"/>
              </w:rPr>
              <w:t>6 genau zu beschreiben.</w:t>
            </w:r>
          </w:p>
        </w:tc>
      </w:tr>
      <w:tr w:rsidR="00C22F50" w:rsidRPr="005251F3" w:rsidTr="00061E91">
        <w:trPr>
          <w:cantSplit/>
        </w:trPr>
        <w:tc>
          <w:tcPr>
            <w:tcW w:w="1668" w:type="dxa"/>
            <w:shd w:val="clear" w:color="auto" w:fill="auto"/>
          </w:tcPr>
          <w:p w:rsidR="00C22F50" w:rsidRPr="005251F3" w:rsidRDefault="00D722BE" w:rsidP="00EC6527">
            <w:pPr>
              <w:spacing w:before="80" w:line="276" w:lineRule="auto"/>
              <w:ind w:firstLine="549"/>
              <w:rPr>
                <w:rFonts w:ascii="Arial" w:hAnsi="Arial" w:cs="Arial"/>
                <w:b/>
                <w:sz w:val="20"/>
                <w:szCs w:val="20"/>
              </w:rPr>
            </w:pPr>
            <w:r w:rsidRPr="005251F3">
              <w:rPr>
                <w:rFonts w:ascii="Arial" w:hAnsi="Arial" w:cs="Arial"/>
                <w:b/>
                <w:sz w:val="20"/>
                <w:szCs w:val="20"/>
              </w:rPr>
              <w:t>Zu 5.4</w:t>
            </w:r>
          </w:p>
          <w:p w:rsidR="00020C58" w:rsidRPr="005251F3" w:rsidRDefault="00020C58" w:rsidP="00EC6527">
            <w:pPr>
              <w:spacing w:before="80" w:line="276" w:lineRule="auto"/>
              <w:ind w:firstLine="549"/>
              <w:rPr>
                <w:rFonts w:ascii="Arial" w:hAnsi="Arial" w:cs="Arial"/>
                <w:b/>
                <w:sz w:val="20"/>
                <w:szCs w:val="20"/>
              </w:rPr>
            </w:pPr>
          </w:p>
        </w:tc>
        <w:tc>
          <w:tcPr>
            <w:tcW w:w="7546" w:type="dxa"/>
            <w:gridSpan w:val="3"/>
            <w:shd w:val="clear" w:color="auto" w:fill="auto"/>
          </w:tcPr>
          <w:p w:rsidR="00FC1B5A" w:rsidRPr="005251F3" w:rsidRDefault="00FC1B5A" w:rsidP="00EC6527">
            <w:pPr>
              <w:spacing w:before="80" w:line="276" w:lineRule="auto"/>
              <w:jc w:val="both"/>
              <w:rPr>
                <w:rFonts w:ascii="Arial" w:hAnsi="Arial" w:cs="Arial"/>
                <w:b/>
                <w:bCs/>
                <w:sz w:val="20"/>
                <w:szCs w:val="20"/>
              </w:rPr>
            </w:pPr>
            <w:r w:rsidRPr="005251F3">
              <w:rPr>
                <w:rFonts w:ascii="Arial" w:hAnsi="Arial" w:cs="Arial"/>
                <w:b/>
                <w:bCs/>
                <w:sz w:val="20"/>
                <w:szCs w:val="20"/>
              </w:rPr>
              <w:t>Termine</w:t>
            </w:r>
          </w:p>
          <w:p w:rsidR="00C22F50" w:rsidRPr="005251F3" w:rsidRDefault="00907435" w:rsidP="00EC6527">
            <w:pPr>
              <w:spacing w:before="80" w:line="276" w:lineRule="auto"/>
              <w:jc w:val="both"/>
              <w:rPr>
                <w:rFonts w:ascii="Arial" w:hAnsi="Arial" w:cs="Arial"/>
                <w:bCs/>
                <w:sz w:val="20"/>
                <w:szCs w:val="20"/>
              </w:rPr>
            </w:pPr>
            <w:r w:rsidRPr="005251F3">
              <w:rPr>
                <w:rFonts w:ascii="Arial" w:hAnsi="Arial" w:cs="Arial"/>
                <w:bCs/>
                <w:sz w:val="20"/>
                <w:szCs w:val="20"/>
              </w:rPr>
              <w:t xml:space="preserve">Bei </w:t>
            </w:r>
            <w:r w:rsidRPr="005251F3">
              <w:rPr>
                <w:rFonts w:ascii="Arial" w:hAnsi="Arial" w:cs="Arial"/>
                <w:bCs/>
                <w:color w:val="000000"/>
                <w:sz w:val="20"/>
                <w:szCs w:val="20"/>
              </w:rPr>
              <w:t xml:space="preserve">einer </w:t>
            </w:r>
            <w:r w:rsidR="007F44E3" w:rsidRPr="005251F3">
              <w:rPr>
                <w:rFonts w:ascii="Arial" w:hAnsi="Arial" w:cs="Arial"/>
                <w:bCs/>
                <w:color w:val="000000"/>
                <w:sz w:val="20"/>
                <w:szCs w:val="20"/>
              </w:rPr>
              <w:t>Baumaßnahme</w:t>
            </w:r>
            <w:r w:rsidR="007F44E3" w:rsidRPr="005251F3">
              <w:rPr>
                <w:rFonts w:ascii="Arial" w:hAnsi="Arial" w:cs="Arial"/>
                <w:bCs/>
                <w:sz w:val="20"/>
                <w:szCs w:val="20"/>
              </w:rPr>
              <w:t xml:space="preserve"> </w:t>
            </w:r>
            <w:r w:rsidR="00C22F50" w:rsidRPr="005251F3">
              <w:rPr>
                <w:rFonts w:ascii="Arial" w:hAnsi="Arial" w:cs="Arial"/>
                <w:bCs/>
                <w:sz w:val="20"/>
                <w:szCs w:val="20"/>
              </w:rPr>
              <w:t xml:space="preserve">mit mehreren Objekten sind die Termine </w:t>
            </w:r>
            <w:r w:rsidR="007F44E3" w:rsidRPr="005251F3">
              <w:rPr>
                <w:rFonts w:ascii="Arial" w:hAnsi="Arial" w:cs="Arial"/>
                <w:bCs/>
                <w:sz w:val="20"/>
                <w:szCs w:val="20"/>
              </w:rPr>
              <w:t xml:space="preserve">objektweise </w:t>
            </w:r>
            <w:r w:rsidR="00C22F50" w:rsidRPr="005251F3">
              <w:rPr>
                <w:rFonts w:ascii="Arial" w:hAnsi="Arial" w:cs="Arial"/>
                <w:bCs/>
                <w:sz w:val="20"/>
                <w:szCs w:val="20"/>
              </w:rPr>
              <w:t>anzugeben</w:t>
            </w:r>
            <w:r w:rsidR="00D47517" w:rsidRPr="005251F3">
              <w:rPr>
                <w:rFonts w:ascii="Arial" w:hAnsi="Arial" w:cs="Arial"/>
                <w:bCs/>
                <w:sz w:val="20"/>
                <w:szCs w:val="20"/>
              </w:rPr>
              <w:t>.</w:t>
            </w:r>
          </w:p>
        </w:tc>
      </w:tr>
      <w:tr w:rsidR="00DF2047" w:rsidRPr="005251F3" w:rsidTr="00061E91">
        <w:trPr>
          <w:cantSplit/>
        </w:trPr>
        <w:tc>
          <w:tcPr>
            <w:tcW w:w="1668" w:type="dxa"/>
            <w:shd w:val="clear" w:color="auto" w:fill="auto"/>
          </w:tcPr>
          <w:p w:rsidR="00DF2047" w:rsidRPr="005251F3" w:rsidRDefault="00DF2047" w:rsidP="00EC6527">
            <w:pPr>
              <w:spacing w:before="80" w:line="276" w:lineRule="auto"/>
              <w:ind w:firstLine="549"/>
              <w:rPr>
                <w:rFonts w:ascii="Arial" w:hAnsi="Arial" w:cs="Arial"/>
                <w:b/>
                <w:sz w:val="20"/>
                <w:szCs w:val="20"/>
              </w:rPr>
            </w:pPr>
            <w:r w:rsidRPr="005251F3">
              <w:rPr>
                <w:rFonts w:ascii="Arial" w:hAnsi="Arial" w:cs="Arial"/>
                <w:b/>
                <w:sz w:val="20"/>
                <w:szCs w:val="20"/>
              </w:rPr>
              <w:t>Zu 5.</w:t>
            </w:r>
            <w:r w:rsidR="003B360B" w:rsidRPr="005251F3">
              <w:rPr>
                <w:rFonts w:ascii="Arial" w:hAnsi="Arial" w:cs="Arial"/>
                <w:b/>
                <w:sz w:val="20"/>
                <w:szCs w:val="20"/>
              </w:rPr>
              <w:t>7</w:t>
            </w:r>
          </w:p>
          <w:p w:rsidR="00BF1CD9" w:rsidRPr="005251F3" w:rsidRDefault="00BF1CD9" w:rsidP="00EC6527">
            <w:pPr>
              <w:spacing w:before="80" w:line="276" w:lineRule="auto"/>
              <w:ind w:firstLine="549"/>
              <w:rPr>
                <w:rFonts w:ascii="Arial" w:hAnsi="Arial" w:cs="Arial"/>
                <w:sz w:val="20"/>
                <w:szCs w:val="20"/>
              </w:rPr>
            </w:pPr>
            <w:r w:rsidRPr="005251F3">
              <w:rPr>
                <w:rFonts w:ascii="Arial" w:hAnsi="Arial" w:cs="Arial"/>
                <w:b/>
                <w:sz w:val="20"/>
                <w:szCs w:val="20"/>
              </w:rPr>
              <w:t>Zu 5.</w:t>
            </w:r>
            <w:r w:rsidR="003B360B" w:rsidRPr="005251F3">
              <w:rPr>
                <w:rFonts w:ascii="Arial" w:hAnsi="Arial" w:cs="Arial"/>
                <w:b/>
                <w:sz w:val="20"/>
                <w:szCs w:val="20"/>
              </w:rPr>
              <w:t>7</w:t>
            </w:r>
            <w:r w:rsidRPr="005251F3">
              <w:rPr>
                <w:rFonts w:ascii="Arial" w:hAnsi="Arial" w:cs="Arial"/>
                <w:b/>
                <w:sz w:val="20"/>
                <w:szCs w:val="20"/>
              </w:rPr>
              <w:t>.2</w:t>
            </w:r>
          </w:p>
        </w:tc>
        <w:tc>
          <w:tcPr>
            <w:tcW w:w="7546" w:type="dxa"/>
            <w:gridSpan w:val="3"/>
            <w:shd w:val="clear" w:color="auto" w:fill="auto"/>
          </w:tcPr>
          <w:p w:rsidR="003E2972" w:rsidRPr="005251F3" w:rsidRDefault="003E2972" w:rsidP="00EC6527">
            <w:pPr>
              <w:spacing w:before="80" w:line="276" w:lineRule="auto"/>
              <w:jc w:val="both"/>
              <w:rPr>
                <w:rFonts w:ascii="Arial" w:hAnsi="Arial" w:cs="Arial"/>
                <w:b/>
                <w:sz w:val="20"/>
                <w:szCs w:val="20"/>
              </w:rPr>
            </w:pPr>
            <w:r w:rsidRPr="005251F3">
              <w:rPr>
                <w:rFonts w:ascii="Arial" w:hAnsi="Arial" w:cs="Arial"/>
                <w:b/>
                <w:sz w:val="20"/>
                <w:szCs w:val="20"/>
              </w:rPr>
              <w:t>Behandlung von Unterlagen</w:t>
            </w:r>
          </w:p>
          <w:p w:rsidR="002E7516" w:rsidRPr="005251F3" w:rsidRDefault="007F62CE" w:rsidP="00EC6527">
            <w:pPr>
              <w:spacing w:before="80" w:line="276" w:lineRule="auto"/>
              <w:jc w:val="both"/>
              <w:rPr>
                <w:rFonts w:ascii="Arial" w:hAnsi="Arial" w:cs="Arial"/>
                <w:sz w:val="20"/>
                <w:szCs w:val="20"/>
              </w:rPr>
            </w:pPr>
            <w:r w:rsidRPr="005251F3">
              <w:rPr>
                <w:rFonts w:ascii="Arial" w:hAnsi="Arial" w:cs="Arial"/>
                <w:sz w:val="20"/>
                <w:szCs w:val="20"/>
              </w:rPr>
              <w:t>D</w:t>
            </w:r>
            <w:r w:rsidR="006B2A97" w:rsidRPr="005251F3">
              <w:rPr>
                <w:rFonts w:ascii="Arial" w:hAnsi="Arial" w:cs="Arial"/>
                <w:sz w:val="20"/>
                <w:szCs w:val="20"/>
              </w:rPr>
              <w:t>i</w:t>
            </w:r>
            <w:r w:rsidR="00864D02" w:rsidRPr="005251F3">
              <w:rPr>
                <w:rFonts w:ascii="Arial" w:hAnsi="Arial" w:cs="Arial"/>
                <w:sz w:val="20"/>
                <w:szCs w:val="20"/>
              </w:rPr>
              <w:t xml:space="preserve">e Unterlagen zur ES-Bau </w:t>
            </w:r>
            <w:r w:rsidRPr="005251F3">
              <w:rPr>
                <w:rFonts w:ascii="Arial" w:hAnsi="Arial" w:cs="Arial"/>
                <w:sz w:val="20"/>
                <w:szCs w:val="20"/>
              </w:rPr>
              <w:t xml:space="preserve">sind in der Regel </w:t>
            </w:r>
            <w:r w:rsidR="00D47517" w:rsidRPr="005251F3">
              <w:rPr>
                <w:rFonts w:ascii="Arial" w:hAnsi="Arial" w:cs="Arial"/>
                <w:sz w:val="20"/>
                <w:szCs w:val="20"/>
              </w:rPr>
              <w:t>in vierfacher Ausfertigung zu liefern. Sofern eine größere Anzahl an Ausfertigungen vorzulegen ist, ist dies an dieser Stelle zu vereinbaren.</w:t>
            </w:r>
          </w:p>
        </w:tc>
      </w:tr>
      <w:tr w:rsidR="00061E91" w:rsidRPr="005251F3" w:rsidTr="00061E91">
        <w:trPr>
          <w:cantSplit/>
        </w:trPr>
        <w:tc>
          <w:tcPr>
            <w:tcW w:w="1668" w:type="dxa"/>
            <w:shd w:val="clear" w:color="auto" w:fill="auto"/>
          </w:tcPr>
          <w:p w:rsidR="00061E91" w:rsidRPr="005251F3" w:rsidRDefault="00061E91" w:rsidP="00EC6527">
            <w:pPr>
              <w:spacing w:before="80" w:line="276" w:lineRule="auto"/>
              <w:ind w:firstLine="549"/>
              <w:rPr>
                <w:rFonts w:ascii="Arial" w:hAnsi="Arial" w:cs="Arial"/>
                <w:b/>
                <w:sz w:val="20"/>
                <w:szCs w:val="20"/>
              </w:rPr>
            </w:pPr>
          </w:p>
        </w:tc>
        <w:tc>
          <w:tcPr>
            <w:tcW w:w="7546" w:type="dxa"/>
            <w:gridSpan w:val="3"/>
            <w:shd w:val="clear" w:color="auto" w:fill="auto"/>
          </w:tcPr>
          <w:p w:rsidR="00061E91" w:rsidRPr="005251F3" w:rsidRDefault="00061E91" w:rsidP="00EC6527">
            <w:pPr>
              <w:spacing w:before="80" w:line="276" w:lineRule="auto"/>
              <w:jc w:val="both"/>
              <w:rPr>
                <w:rFonts w:ascii="Arial" w:hAnsi="Arial" w:cs="Arial"/>
                <w:b/>
                <w:sz w:val="20"/>
                <w:szCs w:val="20"/>
              </w:rPr>
            </w:pPr>
          </w:p>
        </w:tc>
      </w:tr>
      <w:tr w:rsidR="00DF2047" w:rsidRPr="005251F3" w:rsidTr="00061E91">
        <w:trPr>
          <w:cantSplit/>
        </w:trPr>
        <w:tc>
          <w:tcPr>
            <w:tcW w:w="1668" w:type="dxa"/>
            <w:shd w:val="clear" w:color="auto" w:fill="auto"/>
          </w:tcPr>
          <w:p w:rsidR="00DF2047" w:rsidRPr="005251F3" w:rsidRDefault="00F9122D" w:rsidP="00EC6527">
            <w:pPr>
              <w:spacing w:before="80" w:line="276" w:lineRule="auto"/>
              <w:ind w:left="504" w:hanging="504"/>
              <w:jc w:val="both"/>
              <w:rPr>
                <w:rFonts w:ascii="Arial" w:hAnsi="Arial" w:cs="Arial"/>
                <w:b/>
                <w:sz w:val="20"/>
                <w:szCs w:val="20"/>
              </w:rPr>
            </w:pPr>
            <w:r w:rsidRPr="005251F3">
              <w:rPr>
                <w:rFonts w:ascii="Arial" w:hAnsi="Arial" w:cs="Arial"/>
                <w:b/>
                <w:sz w:val="20"/>
                <w:szCs w:val="20"/>
              </w:rPr>
              <w:lastRenderedPageBreak/>
              <w:t>Zu §</w:t>
            </w:r>
            <w:r w:rsidR="00EC6527" w:rsidRPr="005251F3">
              <w:rPr>
                <w:rFonts w:ascii="Arial" w:hAnsi="Arial" w:cs="Arial"/>
                <w:b/>
                <w:sz w:val="20"/>
                <w:szCs w:val="20"/>
              </w:rPr>
              <w:t> </w:t>
            </w:r>
            <w:r w:rsidRPr="005251F3">
              <w:rPr>
                <w:rFonts w:ascii="Arial" w:hAnsi="Arial" w:cs="Arial"/>
                <w:b/>
                <w:sz w:val="20"/>
                <w:szCs w:val="20"/>
              </w:rPr>
              <w:t>6</w:t>
            </w:r>
          </w:p>
          <w:p w:rsidR="00EF312D" w:rsidRPr="005251F3" w:rsidRDefault="00EF312D" w:rsidP="00EC6527">
            <w:pPr>
              <w:spacing w:before="80" w:line="276" w:lineRule="auto"/>
              <w:ind w:left="504"/>
              <w:jc w:val="both"/>
              <w:rPr>
                <w:rFonts w:ascii="Arial" w:hAnsi="Arial" w:cs="Arial"/>
                <w:sz w:val="20"/>
                <w:szCs w:val="20"/>
              </w:rPr>
            </w:pPr>
            <w:r w:rsidRPr="005251F3">
              <w:rPr>
                <w:rFonts w:ascii="Arial" w:hAnsi="Arial" w:cs="Arial"/>
                <w:b/>
                <w:sz w:val="20"/>
                <w:szCs w:val="20"/>
              </w:rPr>
              <w:t>Zu 6.1</w:t>
            </w:r>
          </w:p>
        </w:tc>
        <w:tc>
          <w:tcPr>
            <w:tcW w:w="7546" w:type="dxa"/>
            <w:gridSpan w:val="3"/>
            <w:shd w:val="clear" w:color="auto" w:fill="auto"/>
          </w:tcPr>
          <w:p w:rsidR="00972FDD" w:rsidRPr="005251F3" w:rsidRDefault="00972FDD" w:rsidP="00EC6527">
            <w:pPr>
              <w:spacing w:before="80" w:line="276" w:lineRule="auto"/>
              <w:jc w:val="both"/>
              <w:rPr>
                <w:rFonts w:ascii="Arial" w:hAnsi="Arial" w:cs="Arial"/>
                <w:sz w:val="20"/>
                <w:szCs w:val="20"/>
              </w:rPr>
            </w:pPr>
            <w:r w:rsidRPr="005251F3">
              <w:rPr>
                <w:rFonts w:ascii="Arial" w:hAnsi="Arial" w:cs="Arial"/>
                <w:b/>
                <w:sz w:val="20"/>
                <w:szCs w:val="20"/>
              </w:rPr>
              <w:t>Spezifische Leistungspflichten</w:t>
            </w:r>
          </w:p>
          <w:p w:rsidR="00864982" w:rsidRPr="005251F3" w:rsidRDefault="008F05F5" w:rsidP="00EC6527">
            <w:pPr>
              <w:spacing w:before="80" w:line="276" w:lineRule="auto"/>
              <w:jc w:val="both"/>
              <w:rPr>
                <w:rFonts w:ascii="Arial" w:hAnsi="Arial" w:cs="Arial"/>
                <w:sz w:val="20"/>
                <w:szCs w:val="20"/>
              </w:rPr>
            </w:pPr>
            <w:r w:rsidRPr="005251F3">
              <w:rPr>
                <w:rFonts w:ascii="Arial" w:hAnsi="Arial" w:cs="Arial"/>
                <w:sz w:val="20"/>
                <w:szCs w:val="20"/>
              </w:rPr>
              <w:t>Es ist durch Ankreuzen festzulegen, welche Anlage(n) zu §</w:t>
            </w:r>
            <w:r w:rsidR="00EC6527" w:rsidRPr="005251F3">
              <w:rPr>
                <w:rFonts w:ascii="Arial" w:hAnsi="Arial" w:cs="Arial"/>
                <w:sz w:val="20"/>
                <w:szCs w:val="20"/>
              </w:rPr>
              <w:t> </w:t>
            </w:r>
            <w:r w:rsidRPr="005251F3">
              <w:rPr>
                <w:rFonts w:ascii="Arial" w:hAnsi="Arial" w:cs="Arial"/>
                <w:sz w:val="20"/>
                <w:szCs w:val="20"/>
              </w:rPr>
              <w:t xml:space="preserve">6 </w:t>
            </w:r>
            <w:r w:rsidR="00EC6527" w:rsidRPr="005251F3">
              <w:rPr>
                <w:rFonts w:ascii="Arial" w:hAnsi="Arial" w:cs="Arial"/>
                <w:sz w:val="20"/>
                <w:szCs w:val="20"/>
              </w:rPr>
              <w:t>Vertragsgegenstand sind; vgl. § </w:t>
            </w:r>
            <w:r w:rsidRPr="005251F3">
              <w:rPr>
                <w:rFonts w:ascii="Arial" w:hAnsi="Arial" w:cs="Arial"/>
                <w:sz w:val="20"/>
                <w:szCs w:val="20"/>
              </w:rPr>
              <w:t>1</w:t>
            </w:r>
            <w:r w:rsidR="00936C7E" w:rsidRPr="005251F3">
              <w:rPr>
                <w:rFonts w:ascii="Arial" w:hAnsi="Arial" w:cs="Arial"/>
                <w:sz w:val="20"/>
                <w:szCs w:val="20"/>
              </w:rPr>
              <w:t xml:space="preserve"> </w:t>
            </w:r>
            <w:r w:rsidRPr="005251F3">
              <w:rPr>
                <w:rFonts w:ascii="Arial" w:hAnsi="Arial" w:cs="Arial"/>
                <w:sz w:val="20"/>
                <w:szCs w:val="20"/>
              </w:rPr>
              <w:t>Nummer</w:t>
            </w:r>
            <w:r w:rsidR="00936C7E" w:rsidRPr="005251F3">
              <w:rPr>
                <w:rFonts w:ascii="Arial" w:hAnsi="Arial" w:cs="Arial"/>
                <w:sz w:val="20"/>
                <w:szCs w:val="20"/>
              </w:rPr>
              <w:t xml:space="preserve"> </w:t>
            </w:r>
            <w:r w:rsidRPr="005251F3">
              <w:rPr>
                <w:rFonts w:ascii="Arial" w:hAnsi="Arial" w:cs="Arial"/>
                <w:sz w:val="20"/>
                <w:szCs w:val="20"/>
              </w:rPr>
              <w:t>1.1.</w:t>
            </w:r>
          </w:p>
          <w:p w:rsidR="002E7516" w:rsidRPr="005251F3" w:rsidRDefault="004571FB" w:rsidP="00EC6527">
            <w:pPr>
              <w:spacing w:before="80" w:line="276" w:lineRule="auto"/>
              <w:jc w:val="both"/>
              <w:rPr>
                <w:rFonts w:ascii="Arial" w:hAnsi="Arial" w:cs="Arial"/>
                <w:sz w:val="20"/>
                <w:szCs w:val="20"/>
              </w:rPr>
            </w:pPr>
            <w:r w:rsidRPr="005251F3">
              <w:rPr>
                <w:rFonts w:ascii="Arial" w:hAnsi="Arial" w:cs="Arial"/>
                <w:sz w:val="20"/>
                <w:szCs w:val="20"/>
              </w:rPr>
              <w:t>D</w:t>
            </w:r>
            <w:r w:rsidR="005C2A37" w:rsidRPr="005251F3">
              <w:rPr>
                <w:rFonts w:ascii="Arial" w:hAnsi="Arial" w:cs="Arial"/>
                <w:sz w:val="20"/>
                <w:szCs w:val="20"/>
              </w:rPr>
              <w:t>ie Federführung bei V</w:t>
            </w:r>
            <w:r w:rsidR="002C2215" w:rsidRPr="005251F3">
              <w:rPr>
                <w:rFonts w:ascii="Arial" w:hAnsi="Arial" w:cs="Arial"/>
                <w:sz w:val="20"/>
                <w:szCs w:val="20"/>
              </w:rPr>
              <w:t>orv</w:t>
            </w:r>
            <w:r w:rsidR="005C2A37" w:rsidRPr="005251F3">
              <w:rPr>
                <w:rFonts w:ascii="Arial" w:hAnsi="Arial" w:cs="Arial"/>
                <w:sz w:val="20"/>
                <w:szCs w:val="20"/>
              </w:rPr>
              <w:t xml:space="preserve">erhandlungen mit </w:t>
            </w:r>
            <w:r w:rsidRPr="005251F3">
              <w:rPr>
                <w:rFonts w:ascii="Arial" w:hAnsi="Arial" w:cs="Arial"/>
                <w:sz w:val="20"/>
                <w:szCs w:val="20"/>
              </w:rPr>
              <w:t xml:space="preserve">den Genehmigungsbehörden </w:t>
            </w:r>
            <w:r w:rsidR="005C2A37" w:rsidRPr="005251F3">
              <w:rPr>
                <w:rFonts w:ascii="Arial" w:hAnsi="Arial" w:cs="Arial"/>
                <w:sz w:val="20"/>
                <w:szCs w:val="20"/>
              </w:rPr>
              <w:t>oblieg</w:t>
            </w:r>
            <w:r w:rsidRPr="005251F3">
              <w:rPr>
                <w:rFonts w:ascii="Arial" w:hAnsi="Arial" w:cs="Arial"/>
                <w:sz w:val="20"/>
                <w:szCs w:val="20"/>
              </w:rPr>
              <w:t>t</w:t>
            </w:r>
            <w:r w:rsidR="005C2A37" w:rsidRPr="005251F3">
              <w:rPr>
                <w:rFonts w:ascii="Arial" w:hAnsi="Arial" w:cs="Arial"/>
                <w:sz w:val="20"/>
                <w:szCs w:val="20"/>
              </w:rPr>
              <w:t xml:space="preserve"> dem Auftraggeber. </w:t>
            </w:r>
            <w:r w:rsidR="008716D7" w:rsidRPr="005251F3">
              <w:rPr>
                <w:rFonts w:ascii="Arial" w:hAnsi="Arial" w:cs="Arial"/>
                <w:sz w:val="20"/>
                <w:szCs w:val="20"/>
              </w:rPr>
              <w:t>Nur ausnahmsweise (z.</w:t>
            </w:r>
            <w:r w:rsidR="00480337" w:rsidRPr="005251F3">
              <w:rPr>
                <w:rFonts w:ascii="Arial" w:hAnsi="Arial" w:cs="Arial"/>
                <w:sz w:val="20"/>
                <w:szCs w:val="20"/>
              </w:rPr>
              <w:t xml:space="preserve"> </w:t>
            </w:r>
            <w:r w:rsidR="008716D7" w:rsidRPr="005251F3">
              <w:rPr>
                <w:rFonts w:ascii="Arial" w:hAnsi="Arial" w:cs="Arial"/>
                <w:sz w:val="20"/>
                <w:szCs w:val="20"/>
              </w:rPr>
              <w:t xml:space="preserve">B. Auslandsbau) </w:t>
            </w:r>
            <w:r w:rsidR="0069412E" w:rsidRPr="005251F3">
              <w:rPr>
                <w:rFonts w:ascii="Arial" w:hAnsi="Arial" w:cs="Arial"/>
                <w:sz w:val="20"/>
                <w:szCs w:val="20"/>
              </w:rPr>
              <w:t>ist</w:t>
            </w:r>
            <w:r w:rsidR="008716D7" w:rsidRPr="005251F3">
              <w:rPr>
                <w:rFonts w:ascii="Arial" w:hAnsi="Arial" w:cs="Arial"/>
                <w:sz w:val="20"/>
                <w:szCs w:val="20"/>
              </w:rPr>
              <w:t xml:space="preserve"> diese Aufgabe delegierbar. </w:t>
            </w:r>
            <w:r w:rsidR="0069412E" w:rsidRPr="005251F3">
              <w:rPr>
                <w:rFonts w:ascii="Arial" w:hAnsi="Arial" w:cs="Arial"/>
                <w:sz w:val="20"/>
                <w:szCs w:val="20"/>
              </w:rPr>
              <w:t>In diesem Fall ist</w:t>
            </w:r>
            <w:r w:rsidR="008716D7" w:rsidRPr="005251F3">
              <w:rPr>
                <w:rFonts w:ascii="Arial" w:hAnsi="Arial" w:cs="Arial"/>
                <w:sz w:val="20"/>
                <w:szCs w:val="20"/>
              </w:rPr>
              <w:t xml:space="preserve"> in der Anlage zu §</w:t>
            </w:r>
            <w:r w:rsidR="00EC6527" w:rsidRPr="005251F3">
              <w:rPr>
                <w:rFonts w:ascii="Arial" w:hAnsi="Arial" w:cs="Arial"/>
                <w:sz w:val="20"/>
                <w:szCs w:val="20"/>
              </w:rPr>
              <w:t> </w:t>
            </w:r>
            <w:r w:rsidR="008716D7" w:rsidRPr="005251F3">
              <w:rPr>
                <w:rFonts w:ascii="Arial" w:hAnsi="Arial" w:cs="Arial"/>
                <w:sz w:val="20"/>
                <w:szCs w:val="20"/>
              </w:rPr>
              <w:t xml:space="preserve">6 </w:t>
            </w:r>
            <w:r w:rsidR="00CF1D6B" w:rsidRPr="005251F3">
              <w:rPr>
                <w:rFonts w:ascii="Arial" w:hAnsi="Arial" w:cs="Arial"/>
                <w:sz w:val="20"/>
                <w:szCs w:val="20"/>
              </w:rPr>
              <w:t xml:space="preserve">ggf. </w:t>
            </w:r>
            <w:r w:rsidR="008716D7" w:rsidRPr="005251F3">
              <w:rPr>
                <w:rFonts w:ascii="Arial" w:hAnsi="Arial" w:cs="Arial"/>
                <w:sz w:val="20"/>
                <w:szCs w:val="20"/>
              </w:rPr>
              <w:t>das „Mitwirken“ zu streichen</w:t>
            </w:r>
            <w:r w:rsidR="0069412E" w:rsidRPr="005251F3">
              <w:rPr>
                <w:rFonts w:ascii="Arial" w:hAnsi="Arial" w:cs="Arial"/>
                <w:sz w:val="20"/>
                <w:szCs w:val="20"/>
              </w:rPr>
              <w:t>.</w:t>
            </w:r>
          </w:p>
        </w:tc>
      </w:tr>
      <w:tr w:rsidR="00061E91" w:rsidRPr="005251F3" w:rsidTr="00061E91">
        <w:trPr>
          <w:cantSplit/>
        </w:trPr>
        <w:tc>
          <w:tcPr>
            <w:tcW w:w="1668" w:type="dxa"/>
            <w:shd w:val="clear" w:color="auto" w:fill="auto"/>
          </w:tcPr>
          <w:p w:rsidR="00061E91" w:rsidRPr="005251F3" w:rsidRDefault="00061E91" w:rsidP="00EC6527">
            <w:pPr>
              <w:spacing w:before="80" w:line="276" w:lineRule="auto"/>
              <w:ind w:left="504" w:hanging="504"/>
              <w:jc w:val="both"/>
              <w:rPr>
                <w:rFonts w:ascii="Arial" w:hAnsi="Arial" w:cs="Arial"/>
                <w:b/>
                <w:sz w:val="20"/>
                <w:szCs w:val="20"/>
              </w:rPr>
            </w:pPr>
          </w:p>
        </w:tc>
        <w:tc>
          <w:tcPr>
            <w:tcW w:w="7546" w:type="dxa"/>
            <w:gridSpan w:val="3"/>
            <w:shd w:val="clear" w:color="auto" w:fill="auto"/>
          </w:tcPr>
          <w:p w:rsidR="00061E91" w:rsidRPr="005251F3" w:rsidRDefault="00061E91" w:rsidP="00EC6527">
            <w:pPr>
              <w:spacing w:before="80" w:line="276" w:lineRule="auto"/>
              <w:jc w:val="both"/>
              <w:rPr>
                <w:rFonts w:ascii="Arial" w:hAnsi="Arial" w:cs="Arial"/>
                <w:b/>
                <w:sz w:val="20"/>
                <w:szCs w:val="20"/>
              </w:rPr>
            </w:pPr>
          </w:p>
        </w:tc>
      </w:tr>
      <w:tr w:rsidR="00D85CEF" w:rsidRPr="005251F3" w:rsidTr="00061E91">
        <w:trPr>
          <w:cantSplit/>
        </w:trPr>
        <w:tc>
          <w:tcPr>
            <w:tcW w:w="1668" w:type="dxa"/>
            <w:shd w:val="clear" w:color="auto" w:fill="auto"/>
          </w:tcPr>
          <w:p w:rsidR="007D0A63" w:rsidRPr="005251F3" w:rsidRDefault="007D0A63" w:rsidP="00EC6527">
            <w:pPr>
              <w:spacing w:before="80" w:line="276" w:lineRule="auto"/>
              <w:jc w:val="both"/>
              <w:rPr>
                <w:rFonts w:ascii="Arial" w:hAnsi="Arial" w:cs="Arial"/>
                <w:b/>
                <w:sz w:val="20"/>
                <w:szCs w:val="20"/>
              </w:rPr>
            </w:pPr>
            <w:r w:rsidRPr="005251F3">
              <w:rPr>
                <w:rFonts w:ascii="Arial" w:hAnsi="Arial" w:cs="Arial"/>
                <w:b/>
                <w:sz w:val="20"/>
                <w:szCs w:val="20"/>
              </w:rPr>
              <w:t>Zu §</w:t>
            </w:r>
            <w:r w:rsidR="00EC6527" w:rsidRPr="005251F3">
              <w:rPr>
                <w:rFonts w:ascii="Arial" w:hAnsi="Arial" w:cs="Arial"/>
                <w:b/>
                <w:sz w:val="20"/>
                <w:szCs w:val="20"/>
              </w:rPr>
              <w:t> </w:t>
            </w:r>
            <w:r w:rsidRPr="005251F3">
              <w:rPr>
                <w:rFonts w:ascii="Arial" w:hAnsi="Arial" w:cs="Arial"/>
                <w:b/>
                <w:sz w:val="20"/>
                <w:szCs w:val="20"/>
              </w:rPr>
              <w:t>7</w:t>
            </w:r>
          </w:p>
          <w:p w:rsidR="00D85CEF" w:rsidRPr="005251F3" w:rsidRDefault="007D0A63" w:rsidP="00FF7E4D">
            <w:pPr>
              <w:spacing w:before="80" w:line="276" w:lineRule="auto"/>
              <w:ind w:firstLine="549"/>
              <w:jc w:val="both"/>
              <w:rPr>
                <w:rFonts w:ascii="Arial" w:hAnsi="Arial" w:cs="Arial"/>
                <w:sz w:val="20"/>
                <w:szCs w:val="20"/>
              </w:rPr>
            </w:pPr>
            <w:r w:rsidRPr="005251F3">
              <w:rPr>
                <w:rFonts w:ascii="Arial" w:hAnsi="Arial" w:cs="Arial"/>
                <w:b/>
                <w:sz w:val="20"/>
                <w:szCs w:val="20"/>
              </w:rPr>
              <w:t>Zu</w:t>
            </w:r>
            <w:r w:rsidR="00BF6009" w:rsidRPr="005251F3">
              <w:rPr>
                <w:rFonts w:ascii="Arial" w:hAnsi="Arial" w:cs="Arial"/>
                <w:b/>
                <w:sz w:val="20"/>
                <w:szCs w:val="20"/>
              </w:rPr>
              <w:t xml:space="preserve"> </w:t>
            </w:r>
            <w:r w:rsidR="00D85CEF" w:rsidRPr="005251F3">
              <w:rPr>
                <w:rFonts w:ascii="Arial" w:hAnsi="Arial" w:cs="Arial"/>
                <w:b/>
                <w:sz w:val="20"/>
                <w:szCs w:val="20"/>
              </w:rPr>
              <w:t>7.</w:t>
            </w:r>
            <w:r w:rsidR="007C0255" w:rsidRPr="005251F3">
              <w:rPr>
                <w:rFonts w:ascii="Arial" w:hAnsi="Arial" w:cs="Arial"/>
                <w:b/>
                <w:sz w:val="20"/>
                <w:szCs w:val="20"/>
              </w:rPr>
              <w:t>2</w:t>
            </w:r>
          </w:p>
        </w:tc>
        <w:tc>
          <w:tcPr>
            <w:tcW w:w="7546" w:type="dxa"/>
            <w:gridSpan w:val="3"/>
            <w:shd w:val="clear" w:color="auto" w:fill="auto"/>
          </w:tcPr>
          <w:p w:rsidR="00972FDD" w:rsidRPr="005251F3" w:rsidRDefault="00972FDD" w:rsidP="00EC6527">
            <w:pPr>
              <w:spacing w:before="80" w:line="276" w:lineRule="auto"/>
              <w:jc w:val="both"/>
              <w:rPr>
                <w:rFonts w:ascii="Arial" w:hAnsi="Arial" w:cs="Arial"/>
                <w:sz w:val="20"/>
                <w:szCs w:val="20"/>
              </w:rPr>
            </w:pPr>
            <w:r w:rsidRPr="005251F3">
              <w:rPr>
                <w:rFonts w:ascii="Arial" w:hAnsi="Arial" w:cs="Arial"/>
                <w:b/>
                <w:sz w:val="20"/>
                <w:szCs w:val="20"/>
              </w:rPr>
              <w:t>Fachlich Beteiligte</w:t>
            </w:r>
          </w:p>
          <w:p w:rsidR="00DC009D" w:rsidRPr="005251F3" w:rsidRDefault="00DC009D" w:rsidP="00EC6527">
            <w:pPr>
              <w:spacing w:before="80" w:line="276" w:lineRule="auto"/>
              <w:jc w:val="both"/>
              <w:rPr>
                <w:rFonts w:ascii="Arial" w:hAnsi="Arial" w:cs="Arial"/>
                <w:b/>
                <w:sz w:val="20"/>
                <w:szCs w:val="20"/>
              </w:rPr>
            </w:pPr>
            <w:r w:rsidRPr="005251F3">
              <w:rPr>
                <w:rFonts w:ascii="Arial" w:hAnsi="Arial" w:cs="Arial"/>
                <w:b/>
                <w:sz w:val="20"/>
                <w:szCs w:val="20"/>
              </w:rPr>
              <w:t>Beteiligung eines Projektsteuerers</w:t>
            </w:r>
          </w:p>
          <w:p w:rsidR="002E7516" w:rsidRPr="005251F3" w:rsidRDefault="008D5694">
            <w:pPr>
              <w:spacing w:before="80" w:line="276" w:lineRule="auto"/>
              <w:jc w:val="both"/>
              <w:rPr>
                <w:rFonts w:ascii="Arial" w:hAnsi="Arial" w:cs="Arial"/>
                <w:sz w:val="20"/>
                <w:szCs w:val="20"/>
              </w:rPr>
            </w:pPr>
            <w:r w:rsidRPr="005251F3">
              <w:rPr>
                <w:rFonts w:ascii="Arial" w:hAnsi="Arial" w:cs="Arial"/>
                <w:sz w:val="20"/>
                <w:szCs w:val="20"/>
              </w:rPr>
              <w:t xml:space="preserve">Bei der </w:t>
            </w:r>
            <w:r w:rsidR="00D85CEF" w:rsidRPr="005251F3">
              <w:rPr>
                <w:rFonts w:ascii="Arial" w:hAnsi="Arial" w:cs="Arial"/>
                <w:sz w:val="20"/>
                <w:szCs w:val="20"/>
              </w:rPr>
              <w:t>Einschaltung eines Projektsteuerers ist K12, Ziffer</w:t>
            </w:r>
            <w:r w:rsidR="00936C7E" w:rsidRPr="005251F3">
              <w:rPr>
                <w:rFonts w:ascii="Arial" w:hAnsi="Arial" w:cs="Arial"/>
                <w:sz w:val="20"/>
                <w:szCs w:val="20"/>
              </w:rPr>
              <w:t xml:space="preserve"> </w:t>
            </w:r>
            <w:r w:rsidR="00D85CEF" w:rsidRPr="005251F3">
              <w:rPr>
                <w:rFonts w:ascii="Arial" w:hAnsi="Arial" w:cs="Arial"/>
                <w:sz w:val="20"/>
                <w:szCs w:val="20"/>
              </w:rPr>
              <w:t xml:space="preserve">3, RBBau </w:t>
            </w:r>
            <w:r w:rsidR="006800CB" w:rsidRPr="005251F3">
              <w:rPr>
                <w:rFonts w:ascii="Arial" w:hAnsi="Arial" w:cs="Arial"/>
                <w:sz w:val="20"/>
                <w:szCs w:val="20"/>
              </w:rPr>
              <w:t xml:space="preserve">sowie I.6 VHF </w:t>
            </w:r>
            <w:r w:rsidR="00D85CEF" w:rsidRPr="005251F3">
              <w:rPr>
                <w:rFonts w:ascii="Arial" w:hAnsi="Arial" w:cs="Arial"/>
                <w:sz w:val="20"/>
                <w:szCs w:val="20"/>
              </w:rPr>
              <w:t>zu beachten. Diese Leistungen dürfen nicht Auftragnehmer</w:t>
            </w:r>
            <w:r w:rsidR="00A16F28" w:rsidRPr="005251F3">
              <w:rPr>
                <w:rFonts w:ascii="Arial" w:hAnsi="Arial" w:cs="Arial"/>
                <w:sz w:val="20"/>
                <w:szCs w:val="20"/>
              </w:rPr>
              <w:t>n</w:t>
            </w:r>
            <w:r w:rsidR="00D85CEF" w:rsidRPr="005251F3">
              <w:rPr>
                <w:rFonts w:ascii="Arial" w:hAnsi="Arial" w:cs="Arial"/>
                <w:sz w:val="20"/>
                <w:szCs w:val="20"/>
              </w:rPr>
              <w:t xml:space="preserve"> übertragen werden, </w:t>
            </w:r>
            <w:r w:rsidR="00A16F28" w:rsidRPr="005251F3">
              <w:rPr>
                <w:rFonts w:ascii="Arial" w:hAnsi="Arial" w:cs="Arial"/>
                <w:sz w:val="20"/>
                <w:szCs w:val="20"/>
              </w:rPr>
              <w:t xml:space="preserve">denen </w:t>
            </w:r>
            <w:r w:rsidR="00D85CEF" w:rsidRPr="005251F3">
              <w:rPr>
                <w:rFonts w:ascii="Arial" w:hAnsi="Arial" w:cs="Arial"/>
                <w:sz w:val="20"/>
                <w:szCs w:val="20"/>
              </w:rPr>
              <w:t xml:space="preserve">gleichzeitig die Objektplanung </w:t>
            </w:r>
            <w:r w:rsidR="005C2A37" w:rsidRPr="005251F3">
              <w:rPr>
                <w:rFonts w:ascii="Arial" w:hAnsi="Arial" w:cs="Arial"/>
                <w:sz w:val="20"/>
                <w:szCs w:val="20"/>
              </w:rPr>
              <w:t>Gebäude</w:t>
            </w:r>
            <w:r w:rsidR="00FE0617" w:rsidRPr="005251F3">
              <w:rPr>
                <w:rFonts w:ascii="Arial" w:hAnsi="Arial" w:cs="Arial"/>
                <w:sz w:val="20"/>
                <w:szCs w:val="20"/>
              </w:rPr>
              <w:t xml:space="preserve"> </w:t>
            </w:r>
            <w:r w:rsidR="00D85CEF" w:rsidRPr="005251F3">
              <w:rPr>
                <w:rFonts w:ascii="Arial" w:hAnsi="Arial" w:cs="Arial"/>
                <w:sz w:val="20"/>
                <w:szCs w:val="20"/>
              </w:rPr>
              <w:t>übertragen wird.</w:t>
            </w:r>
          </w:p>
        </w:tc>
      </w:tr>
      <w:tr w:rsidR="009A5C7C" w:rsidRPr="005251F3" w:rsidTr="00061E91">
        <w:trPr>
          <w:cantSplit/>
        </w:trPr>
        <w:tc>
          <w:tcPr>
            <w:tcW w:w="1668" w:type="dxa"/>
            <w:shd w:val="clear" w:color="auto" w:fill="auto"/>
          </w:tcPr>
          <w:p w:rsidR="009A5C7C" w:rsidRPr="005251F3" w:rsidRDefault="009A5C7C" w:rsidP="00EC6527">
            <w:pPr>
              <w:spacing w:before="80" w:line="276" w:lineRule="auto"/>
              <w:jc w:val="both"/>
              <w:rPr>
                <w:rFonts w:ascii="Arial" w:hAnsi="Arial" w:cs="Arial"/>
                <w:b/>
                <w:sz w:val="20"/>
                <w:szCs w:val="20"/>
              </w:rPr>
            </w:pPr>
          </w:p>
        </w:tc>
        <w:tc>
          <w:tcPr>
            <w:tcW w:w="7546" w:type="dxa"/>
            <w:gridSpan w:val="3"/>
            <w:shd w:val="clear" w:color="auto" w:fill="auto"/>
          </w:tcPr>
          <w:p w:rsidR="009A5C7C" w:rsidRPr="005251F3" w:rsidRDefault="009A5C7C" w:rsidP="00EC6527">
            <w:pPr>
              <w:spacing w:before="80" w:line="276" w:lineRule="auto"/>
              <w:jc w:val="both"/>
              <w:rPr>
                <w:rFonts w:ascii="Arial" w:hAnsi="Arial" w:cs="Arial"/>
                <w:b/>
                <w:sz w:val="20"/>
                <w:szCs w:val="20"/>
              </w:rPr>
            </w:pPr>
          </w:p>
        </w:tc>
      </w:tr>
      <w:tr w:rsidR="0052573C" w:rsidRPr="005251F3" w:rsidTr="00061E91">
        <w:trPr>
          <w:cantSplit/>
        </w:trPr>
        <w:tc>
          <w:tcPr>
            <w:tcW w:w="1668" w:type="dxa"/>
            <w:shd w:val="clear" w:color="auto" w:fill="auto"/>
          </w:tcPr>
          <w:p w:rsidR="007D0A63" w:rsidRPr="005251F3" w:rsidRDefault="007D0A63" w:rsidP="00EC6527">
            <w:pPr>
              <w:spacing w:before="80" w:line="276" w:lineRule="auto"/>
              <w:jc w:val="both"/>
              <w:rPr>
                <w:rFonts w:ascii="Arial" w:hAnsi="Arial" w:cs="Arial"/>
                <w:b/>
                <w:sz w:val="20"/>
                <w:szCs w:val="20"/>
              </w:rPr>
            </w:pPr>
            <w:r w:rsidRPr="005251F3">
              <w:rPr>
                <w:rFonts w:ascii="Arial" w:hAnsi="Arial" w:cs="Arial"/>
                <w:b/>
                <w:sz w:val="20"/>
                <w:szCs w:val="20"/>
              </w:rPr>
              <w:t>Zu §</w:t>
            </w:r>
            <w:r w:rsidR="00FF7E4D" w:rsidRPr="005251F3">
              <w:rPr>
                <w:rFonts w:ascii="Arial" w:hAnsi="Arial" w:cs="Arial"/>
                <w:b/>
                <w:sz w:val="20"/>
                <w:szCs w:val="20"/>
              </w:rPr>
              <w:t> </w:t>
            </w:r>
            <w:r w:rsidRPr="005251F3">
              <w:rPr>
                <w:rFonts w:ascii="Arial" w:hAnsi="Arial" w:cs="Arial"/>
                <w:b/>
                <w:sz w:val="20"/>
                <w:szCs w:val="20"/>
              </w:rPr>
              <w:t>8</w:t>
            </w:r>
            <w:r w:rsidR="004D4BCF" w:rsidRPr="005251F3">
              <w:rPr>
                <w:rFonts w:ascii="Arial" w:hAnsi="Arial" w:cs="Arial"/>
                <w:b/>
                <w:sz w:val="20"/>
                <w:szCs w:val="20"/>
              </w:rPr>
              <w:t xml:space="preserve"> </w:t>
            </w:r>
          </w:p>
          <w:p w:rsidR="0052573C" w:rsidRPr="005251F3" w:rsidRDefault="007D0A63" w:rsidP="00FF7E4D">
            <w:pPr>
              <w:spacing w:before="80" w:line="276" w:lineRule="auto"/>
              <w:ind w:firstLine="549"/>
              <w:jc w:val="both"/>
              <w:rPr>
                <w:rFonts w:ascii="Arial" w:hAnsi="Arial" w:cs="Arial"/>
                <w:sz w:val="20"/>
                <w:szCs w:val="20"/>
              </w:rPr>
            </w:pPr>
            <w:r w:rsidRPr="005251F3">
              <w:rPr>
                <w:rFonts w:ascii="Arial" w:hAnsi="Arial" w:cs="Arial"/>
                <w:b/>
                <w:sz w:val="20"/>
                <w:szCs w:val="20"/>
              </w:rPr>
              <w:t xml:space="preserve">Zu </w:t>
            </w:r>
            <w:r w:rsidR="00DC009D" w:rsidRPr="005251F3">
              <w:rPr>
                <w:rFonts w:ascii="Arial" w:hAnsi="Arial" w:cs="Arial"/>
                <w:b/>
                <w:sz w:val="20"/>
                <w:szCs w:val="20"/>
              </w:rPr>
              <w:t>8</w:t>
            </w:r>
            <w:r w:rsidR="004D4BCF" w:rsidRPr="005251F3">
              <w:rPr>
                <w:rFonts w:ascii="Arial" w:hAnsi="Arial" w:cs="Arial"/>
                <w:b/>
                <w:sz w:val="20"/>
                <w:szCs w:val="20"/>
              </w:rPr>
              <w:t>.1</w:t>
            </w:r>
          </w:p>
        </w:tc>
        <w:tc>
          <w:tcPr>
            <w:tcW w:w="7546" w:type="dxa"/>
            <w:gridSpan w:val="3"/>
            <w:shd w:val="clear" w:color="auto" w:fill="auto"/>
          </w:tcPr>
          <w:p w:rsidR="00972FDD" w:rsidRPr="005251F3" w:rsidRDefault="00972FDD" w:rsidP="00EC6527">
            <w:pPr>
              <w:spacing w:before="80" w:line="276" w:lineRule="auto"/>
              <w:jc w:val="both"/>
              <w:rPr>
                <w:rFonts w:ascii="Arial" w:hAnsi="Arial" w:cs="Arial"/>
                <w:sz w:val="20"/>
                <w:szCs w:val="20"/>
              </w:rPr>
            </w:pPr>
            <w:r w:rsidRPr="005251F3">
              <w:rPr>
                <w:rFonts w:ascii="Arial" w:hAnsi="Arial" w:cs="Arial"/>
                <w:b/>
                <w:sz w:val="20"/>
                <w:szCs w:val="20"/>
              </w:rPr>
              <w:t>Personaleinsatz</w:t>
            </w:r>
            <w:r w:rsidR="005C2A37" w:rsidRPr="005251F3">
              <w:rPr>
                <w:rFonts w:ascii="Arial" w:hAnsi="Arial" w:cs="Arial"/>
                <w:b/>
                <w:sz w:val="20"/>
                <w:szCs w:val="20"/>
              </w:rPr>
              <w:t xml:space="preserve"> des Auftragnehmers</w:t>
            </w:r>
          </w:p>
          <w:p w:rsidR="00DC009D" w:rsidRPr="005251F3" w:rsidRDefault="00DC009D" w:rsidP="00EC6527">
            <w:pPr>
              <w:spacing w:before="80" w:line="276" w:lineRule="auto"/>
              <w:jc w:val="both"/>
              <w:rPr>
                <w:rFonts w:ascii="Arial" w:hAnsi="Arial" w:cs="Arial"/>
                <w:b/>
                <w:sz w:val="20"/>
                <w:szCs w:val="20"/>
              </w:rPr>
            </w:pPr>
            <w:r w:rsidRPr="005251F3">
              <w:rPr>
                <w:rFonts w:ascii="Arial" w:hAnsi="Arial" w:cs="Arial"/>
                <w:b/>
                <w:sz w:val="20"/>
                <w:szCs w:val="20"/>
              </w:rPr>
              <w:t>Fachlich Verantwortliche</w:t>
            </w:r>
          </w:p>
          <w:p w:rsidR="002E7516" w:rsidRPr="005251F3" w:rsidRDefault="00C5696C">
            <w:pPr>
              <w:spacing w:before="80" w:line="276" w:lineRule="auto"/>
              <w:jc w:val="both"/>
              <w:rPr>
                <w:rFonts w:ascii="Arial" w:hAnsi="Arial" w:cs="Arial"/>
                <w:sz w:val="20"/>
                <w:szCs w:val="20"/>
              </w:rPr>
            </w:pPr>
            <w:r w:rsidRPr="005251F3">
              <w:rPr>
                <w:rFonts w:ascii="Arial" w:hAnsi="Arial" w:cs="Arial"/>
                <w:sz w:val="20"/>
                <w:szCs w:val="20"/>
              </w:rPr>
              <w:t xml:space="preserve">Die für die Erbringung der Leistungen fachlich Verantwortlichen sind zwingend in der </w:t>
            </w:r>
            <w:r w:rsidRPr="005251F3">
              <w:rPr>
                <w:rFonts w:ascii="Arial" w:hAnsi="Arial" w:cs="Arial"/>
                <w:color w:val="000000"/>
                <w:sz w:val="20"/>
                <w:szCs w:val="20"/>
              </w:rPr>
              <w:t>Anlage zu §§ 8</w:t>
            </w:r>
            <w:r w:rsidR="00806967">
              <w:rPr>
                <w:rFonts w:ascii="Arial" w:hAnsi="Arial" w:cs="Arial"/>
                <w:color w:val="000000"/>
                <w:sz w:val="20"/>
                <w:szCs w:val="20"/>
              </w:rPr>
              <w:t>, 10 und 11 (Honorarangebot für </w:t>
            </w:r>
            <w:r w:rsidRPr="005251F3">
              <w:rPr>
                <w:rFonts w:ascii="Arial" w:hAnsi="Arial" w:cs="Arial"/>
                <w:color w:val="000000"/>
                <w:sz w:val="20"/>
                <w:szCs w:val="20"/>
              </w:rPr>
              <w:t>…)</w:t>
            </w:r>
            <w:r w:rsidRPr="005251F3">
              <w:rPr>
                <w:rFonts w:ascii="Arial" w:hAnsi="Arial" w:cs="Arial"/>
                <w:sz w:val="20"/>
                <w:szCs w:val="20"/>
              </w:rPr>
              <w:t xml:space="preserve"> einzutragen.</w:t>
            </w:r>
          </w:p>
        </w:tc>
      </w:tr>
      <w:tr w:rsidR="004E00BA" w:rsidRPr="005251F3" w:rsidTr="00061E91">
        <w:trPr>
          <w:cantSplit/>
        </w:trPr>
        <w:tc>
          <w:tcPr>
            <w:tcW w:w="1668" w:type="dxa"/>
            <w:shd w:val="clear" w:color="auto" w:fill="auto"/>
          </w:tcPr>
          <w:p w:rsidR="004E00BA" w:rsidRPr="005251F3" w:rsidRDefault="004E00BA" w:rsidP="00EC6527">
            <w:pPr>
              <w:spacing w:before="80" w:line="276" w:lineRule="auto"/>
              <w:jc w:val="both"/>
              <w:rPr>
                <w:rFonts w:ascii="Arial" w:hAnsi="Arial" w:cs="Arial"/>
                <w:b/>
                <w:sz w:val="20"/>
                <w:szCs w:val="20"/>
              </w:rPr>
            </w:pPr>
          </w:p>
        </w:tc>
        <w:tc>
          <w:tcPr>
            <w:tcW w:w="7546" w:type="dxa"/>
            <w:gridSpan w:val="3"/>
            <w:shd w:val="clear" w:color="auto" w:fill="auto"/>
          </w:tcPr>
          <w:p w:rsidR="004E00BA" w:rsidRPr="005251F3" w:rsidRDefault="004E00BA" w:rsidP="00EC6527">
            <w:pPr>
              <w:spacing w:before="80" w:line="276" w:lineRule="auto"/>
              <w:jc w:val="both"/>
              <w:rPr>
                <w:rFonts w:ascii="Arial" w:hAnsi="Arial" w:cs="Arial"/>
                <w:b/>
                <w:sz w:val="20"/>
                <w:szCs w:val="20"/>
              </w:rPr>
            </w:pPr>
          </w:p>
        </w:tc>
      </w:tr>
      <w:tr w:rsidR="007068D1" w:rsidRPr="005251F3" w:rsidTr="00061E91">
        <w:tc>
          <w:tcPr>
            <w:tcW w:w="1668" w:type="dxa"/>
            <w:shd w:val="clear" w:color="auto" w:fill="auto"/>
          </w:tcPr>
          <w:p w:rsidR="00534D05" w:rsidRPr="005251F3" w:rsidRDefault="007068D1" w:rsidP="00FF7E4D">
            <w:pPr>
              <w:spacing w:before="80" w:line="276" w:lineRule="auto"/>
              <w:jc w:val="both"/>
              <w:rPr>
                <w:rFonts w:ascii="Arial" w:hAnsi="Arial" w:cs="Arial"/>
                <w:b/>
                <w:sz w:val="20"/>
                <w:szCs w:val="20"/>
              </w:rPr>
            </w:pPr>
            <w:r w:rsidRPr="005251F3">
              <w:rPr>
                <w:rFonts w:ascii="Arial" w:hAnsi="Arial" w:cs="Arial"/>
                <w:b/>
                <w:color w:val="000000"/>
                <w:sz w:val="20"/>
                <w:szCs w:val="20"/>
              </w:rPr>
              <w:t>Z</w:t>
            </w:r>
            <w:r w:rsidRPr="005251F3">
              <w:rPr>
                <w:rFonts w:ascii="Arial" w:hAnsi="Arial" w:cs="Arial"/>
                <w:b/>
                <w:sz w:val="20"/>
                <w:szCs w:val="20"/>
              </w:rPr>
              <w:t>u §</w:t>
            </w:r>
            <w:r w:rsidR="00FF7E4D" w:rsidRPr="005251F3">
              <w:rPr>
                <w:rFonts w:ascii="Arial" w:hAnsi="Arial" w:cs="Arial"/>
                <w:b/>
                <w:sz w:val="20"/>
                <w:szCs w:val="20"/>
              </w:rPr>
              <w:t> </w:t>
            </w:r>
            <w:r w:rsidR="008F05F5" w:rsidRPr="005251F3">
              <w:rPr>
                <w:rFonts w:ascii="Arial" w:hAnsi="Arial" w:cs="Arial"/>
                <w:b/>
                <w:sz w:val="20"/>
                <w:szCs w:val="20"/>
              </w:rPr>
              <w:t>10</w:t>
            </w:r>
          </w:p>
          <w:p w:rsidR="00C44F14" w:rsidRPr="005251F3" w:rsidRDefault="00C44F14">
            <w:pPr>
              <w:spacing w:before="80" w:line="276" w:lineRule="auto"/>
              <w:jc w:val="both"/>
              <w:rPr>
                <w:rFonts w:ascii="Arial" w:hAnsi="Arial" w:cs="Arial"/>
                <w:color w:val="000000"/>
                <w:sz w:val="20"/>
                <w:szCs w:val="20"/>
              </w:rPr>
            </w:pPr>
            <w:r w:rsidRPr="005251F3">
              <w:rPr>
                <w:rFonts w:ascii="Arial" w:hAnsi="Arial" w:cs="Arial"/>
                <w:b/>
                <w:sz w:val="20"/>
                <w:szCs w:val="20"/>
              </w:rPr>
              <w:t xml:space="preserve">         Zu 10.1</w:t>
            </w:r>
          </w:p>
        </w:tc>
        <w:tc>
          <w:tcPr>
            <w:tcW w:w="7546" w:type="dxa"/>
            <w:gridSpan w:val="3"/>
            <w:shd w:val="clear" w:color="auto" w:fill="auto"/>
          </w:tcPr>
          <w:p w:rsidR="00972FDD" w:rsidRPr="005251F3" w:rsidRDefault="00972FDD" w:rsidP="00EC6527">
            <w:pPr>
              <w:spacing w:before="80" w:line="276" w:lineRule="auto"/>
              <w:jc w:val="both"/>
              <w:rPr>
                <w:rFonts w:ascii="Arial" w:hAnsi="Arial" w:cs="Arial"/>
                <w:b/>
                <w:sz w:val="20"/>
                <w:szCs w:val="20"/>
              </w:rPr>
            </w:pPr>
            <w:r w:rsidRPr="005251F3">
              <w:rPr>
                <w:rFonts w:ascii="Arial" w:hAnsi="Arial" w:cs="Arial"/>
                <w:b/>
                <w:sz w:val="20"/>
                <w:szCs w:val="20"/>
              </w:rPr>
              <w:t>Honorar</w:t>
            </w:r>
          </w:p>
          <w:p w:rsidR="0025495A" w:rsidRPr="005251F3" w:rsidRDefault="00780869">
            <w:pPr>
              <w:spacing w:before="80" w:line="276" w:lineRule="auto"/>
              <w:jc w:val="both"/>
              <w:rPr>
                <w:rFonts w:ascii="Arial" w:hAnsi="Arial" w:cs="Arial"/>
                <w:sz w:val="20"/>
                <w:szCs w:val="20"/>
              </w:rPr>
            </w:pPr>
            <w:r w:rsidRPr="005251F3">
              <w:rPr>
                <w:rFonts w:ascii="Arial" w:hAnsi="Arial" w:cs="Arial"/>
                <w:sz w:val="20"/>
                <w:szCs w:val="20"/>
              </w:rPr>
              <w:t>Die Honorarermittlung für die Grundleistungen der Leistungsbilder der Teile 2</w:t>
            </w:r>
            <w:r w:rsidR="006E0580" w:rsidRPr="005251F3">
              <w:rPr>
                <w:rFonts w:ascii="Arial" w:hAnsi="Arial" w:cs="Arial"/>
                <w:sz w:val="20"/>
                <w:szCs w:val="20"/>
              </w:rPr>
              <w:t xml:space="preserve"> </w:t>
            </w:r>
            <w:r w:rsidRPr="005251F3">
              <w:rPr>
                <w:rFonts w:ascii="Arial" w:hAnsi="Arial" w:cs="Arial"/>
                <w:sz w:val="20"/>
                <w:szCs w:val="20"/>
              </w:rPr>
              <w:t>-</w:t>
            </w:r>
            <w:r w:rsidR="006E0580" w:rsidRPr="005251F3">
              <w:rPr>
                <w:rFonts w:ascii="Arial" w:hAnsi="Arial" w:cs="Arial"/>
                <w:sz w:val="20"/>
                <w:szCs w:val="20"/>
              </w:rPr>
              <w:t xml:space="preserve"> </w:t>
            </w:r>
            <w:r w:rsidRPr="005251F3">
              <w:rPr>
                <w:rFonts w:ascii="Arial" w:hAnsi="Arial" w:cs="Arial"/>
                <w:sz w:val="20"/>
                <w:szCs w:val="20"/>
              </w:rPr>
              <w:t>4 der HOAI in der Fassung der Bekanntmachung vom 10.07.2013 (BGBl. S. 2276)</w:t>
            </w:r>
            <w:r w:rsidR="0075774C" w:rsidRPr="005251F3">
              <w:rPr>
                <w:rFonts w:ascii="Arial" w:hAnsi="Arial" w:cs="Arial"/>
                <w:sz w:val="20"/>
                <w:szCs w:val="20"/>
              </w:rPr>
              <w:t xml:space="preserve">, zuletzt geändert durch die Erste Verordnung zur Änderung der HOAI vom 02. Dezember 2020 (BGBl. I Nr. 58 S. 2636), </w:t>
            </w:r>
            <w:r w:rsidRPr="005251F3">
              <w:rPr>
                <w:rFonts w:ascii="Arial" w:hAnsi="Arial" w:cs="Arial"/>
                <w:sz w:val="20"/>
                <w:szCs w:val="20"/>
              </w:rPr>
              <w:t xml:space="preserve">erfolgt nach den jeweiligen Berechnungsparametern der HOAI. Grundlage für die Honorarberechnung ist in der Regel der </w:t>
            </w:r>
            <w:r w:rsidR="0075774C" w:rsidRPr="005251F3">
              <w:rPr>
                <w:rFonts w:ascii="Arial" w:hAnsi="Arial" w:cs="Arial"/>
                <w:sz w:val="20"/>
                <w:szCs w:val="20"/>
              </w:rPr>
              <w:t>Basishonorar</w:t>
            </w:r>
            <w:r w:rsidRPr="005251F3">
              <w:rPr>
                <w:rFonts w:ascii="Arial" w:hAnsi="Arial" w:cs="Arial"/>
                <w:sz w:val="20"/>
                <w:szCs w:val="20"/>
              </w:rPr>
              <w:t>satz</w:t>
            </w:r>
            <w:r w:rsidR="0075774C" w:rsidRPr="005251F3">
              <w:rPr>
                <w:rFonts w:ascii="Arial" w:hAnsi="Arial" w:cs="Arial"/>
                <w:sz w:val="20"/>
                <w:szCs w:val="20"/>
              </w:rPr>
              <w:t>, der dem ehemaligen Mindestsatz entspricht</w:t>
            </w:r>
            <w:r w:rsidRPr="005251F3">
              <w:rPr>
                <w:rFonts w:ascii="Arial" w:hAnsi="Arial" w:cs="Arial"/>
                <w:sz w:val="20"/>
                <w:szCs w:val="20"/>
              </w:rPr>
              <w:t xml:space="preserve">. Auf dieses Honorar für die Grundleistungen können Zu- oder Abschläge vereinbart werden. </w:t>
            </w:r>
          </w:p>
        </w:tc>
      </w:tr>
      <w:tr w:rsidR="00DD0BBD" w:rsidRPr="005251F3" w:rsidTr="00061E91">
        <w:tc>
          <w:tcPr>
            <w:tcW w:w="1668" w:type="dxa"/>
            <w:shd w:val="clear" w:color="auto" w:fill="auto"/>
          </w:tcPr>
          <w:p w:rsidR="00DD0BBD" w:rsidRPr="005251F3" w:rsidRDefault="00DD0BBD" w:rsidP="00FF7E4D">
            <w:pPr>
              <w:spacing w:before="80" w:line="276" w:lineRule="auto"/>
              <w:jc w:val="both"/>
              <w:rPr>
                <w:rFonts w:ascii="Arial" w:hAnsi="Arial" w:cs="Arial"/>
                <w:b/>
                <w:color w:val="000000"/>
                <w:sz w:val="20"/>
                <w:szCs w:val="20"/>
              </w:rPr>
            </w:pPr>
          </w:p>
        </w:tc>
        <w:tc>
          <w:tcPr>
            <w:tcW w:w="7546" w:type="dxa"/>
            <w:gridSpan w:val="3"/>
            <w:shd w:val="clear" w:color="auto" w:fill="auto"/>
          </w:tcPr>
          <w:p w:rsidR="00DD0BBD" w:rsidRPr="005251F3" w:rsidRDefault="00DD0BBD" w:rsidP="00DD0BBD">
            <w:pPr>
              <w:spacing w:before="80" w:line="276" w:lineRule="auto"/>
              <w:jc w:val="both"/>
              <w:rPr>
                <w:rFonts w:ascii="Arial" w:hAnsi="Arial" w:cs="Arial"/>
                <w:sz w:val="20"/>
                <w:szCs w:val="20"/>
              </w:rPr>
            </w:pPr>
            <w:r w:rsidRPr="005251F3">
              <w:rPr>
                <w:rFonts w:ascii="Arial" w:hAnsi="Arial" w:cs="Arial"/>
                <w:sz w:val="20"/>
                <w:szCs w:val="20"/>
              </w:rPr>
              <w:t>Die Honorare für die Besonderen Leistungen sind frei zu vereinbaren (vgl. 10.9), ebenso die Stundensätze (vgl. 10.10).</w:t>
            </w:r>
          </w:p>
          <w:p w:rsidR="00DD0BBD" w:rsidRPr="005251F3" w:rsidRDefault="00DD0BBD" w:rsidP="00DD0BBD">
            <w:pPr>
              <w:spacing w:before="80" w:line="276" w:lineRule="auto"/>
              <w:jc w:val="both"/>
              <w:rPr>
                <w:rFonts w:ascii="Arial" w:hAnsi="Arial" w:cs="Arial"/>
                <w:sz w:val="20"/>
                <w:szCs w:val="20"/>
              </w:rPr>
            </w:pPr>
            <w:r w:rsidRPr="005251F3">
              <w:rPr>
                <w:rFonts w:ascii="Arial" w:hAnsi="Arial" w:cs="Arial"/>
                <w:sz w:val="20"/>
                <w:szCs w:val="20"/>
              </w:rPr>
              <w:t>Bei Vertragsabschluss ist das vorläufige Honorar auf der Grundlage geschätzter Kosten zu ermitteln.</w:t>
            </w:r>
            <w:r w:rsidR="00EE0668" w:rsidRPr="005251F3">
              <w:rPr>
                <w:rFonts w:ascii="Arial" w:hAnsi="Arial" w:cs="Arial"/>
                <w:sz w:val="20"/>
                <w:szCs w:val="20"/>
              </w:rPr>
              <w:t xml:space="preserve"> Sie sind in die Anlage </w:t>
            </w:r>
            <w:r w:rsidR="00EE0668" w:rsidRPr="005251F3">
              <w:rPr>
                <w:rFonts w:ascii="Arial" w:hAnsi="Arial" w:cs="Arial"/>
                <w:color w:val="000000"/>
                <w:sz w:val="20"/>
                <w:szCs w:val="20"/>
              </w:rPr>
              <w:t>zu §§ 8, 10 und 11 (Honorarangebot für</w:t>
            </w:r>
            <w:r w:rsidR="00806967">
              <w:rPr>
                <w:rFonts w:ascii="Arial" w:hAnsi="Arial" w:cs="Arial"/>
                <w:color w:val="000000"/>
                <w:sz w:val="20"/>
                <w:szCs w:val="20"/>
              </w:rPr>
              <w:t> </w:t>
            </w:r>
            <w:r w:rsidR="002540AB" w:rsidRPr="005251F3">
              <w:rPr>
                <w:rFonts w:ascii="Arial" w:hAnsi="Arial" w:cs="Arial"/>
                <w:color w:val="000000"/>
                <w:sz w:val="20"/>
                <w:szCs w:val="20"/>
              </w:rPr>
              <w:t>…</w:t>
            </w:r>
            <w:r w:rsidR="00EE0668" w:rsidRPr="005251F3">
              <w:rPr>
                <w:rFonts w:ascii="Arial" w:hAnsi="Arial" w:cs="Arial"/>
                <w:color w:val="000000"/>
                <w:sz w:val="20"/>
                <w:szCs w:val="20"/>
              </w:rPr>
              <w:t>)</w:t>
            </w:r>
            <w:r w:rsidR="00EE0668" w:rsidRPr="005251F3">
              <w:rPr>
                <w:rFonts w:ascii="Arial" w:hAnsi="Arial" w:cs="Arial"/>
                <w:sz w:val="20"/>
                <w:szCs w:val="20"/>
              </w:rPr>
              <w:t xml:space="preserve"> einzutragen.</w:t>
            </w:r>
            <w:r w:rsidR="00457D19" w:rsidRPr="005251F3">
              <w:rPr>
                <w:rFonts w:ascii="Arial" w:hAnsi="Arial" w:cs="Arial"/>
                <w:sz w:val="20"/>
                <w:szCs w:val="20"/>
              </w:rPr>
              <w:t xml:space="preserve"> </w:t>
            </w:r>
            <w:r w:rsidRPr="005251F3">
              <w:rPr>
                <w:rFonts w:ascii="Arial" w:hAnsi="Arial" w:cs="Arial"/>
                <w:sz w:val="20"/>
                <w:szCs w:val="20"/>
              </w:rPr>
              <w:t>Für das endgültige Honorar werden die Kosten der mangelfreien Kostenermittlung zur ES-Bau zugrunde gelegt.</w:t>
            </w:r>
          </w:p>
          <w:p w:rsidR="00DD0BBD" w:rsidRPr="005251F3" w:rsidRDefault="00DD0BBD" w:rsidP="00DD0BBD">
            <w:pPr>
              <w:spacing w:before="80" w:line="276" w:lineRule="auto"/>
              <w:jc w:val="both"/>
              <w:rPr>
                <w:rFonts w:ascii="Arial" w:hAnsi="Arial" w:cs="Arial"/>
                <w:sz w:val="20"/>
                <w:szCs w:val="20"/>
              </w:rPr>
            </w:pPr>
            <w:r w:rsidRPr="005251F3">
              <w:rPr>
                <w:rFonts w:ascii="Arial" w:hAnsi="Arial" w:cs="Arial"/>
                <w:sz w:val="20"/>
                <w:szCs w:val="20"/>
              </w:rPr>
              <w:t>Werden Änderungen auf Veranlassung des Auftraggebers erforderlich, die zu Mehrarbeiten des Auftragnehmers führen, ist über deren angemessene Vergütung eine zusätzliche Vereinbarung vor Beginn der Arbeiten zu treffen.</w:t>
            </w:r>
          </w:p>
          <w:p w:rsidR="00FB237D" w:rsidRPr="005251F3" w:rsidRDefault="00FB237D" w:rsidP="00DD0BBD">
            <w:pPr>
              <w:spacing w:before="80" w:line="276" w:lineRule="auto"/>
              <w:jc w:val="both"/>
              <w:rPr>
                <w:rFonts w:ascii="Arial" w:hAnsi="Arial" w:cs="Arial"/>
                <w:b/>
                <w:color w:val="000000"/>
                <w:sz w:val="20"/>
                <w:szCs w:val="20"/>
              </w:rPr>
            </w:pPr>
          </w:p>
        </w:tc>
      </w:tr>
      <w:tr w:rsidR="00090D20" w:rsidRPr="005251F3" w:rsidTr="00061E91">
        <w:tc>
          <w:tcPr>
            <w:tcW w:w="1668" w:type="dxa"/>
            <w:shd w:val="clear" w:color="auto" w:fill="auto"/>
          </w:tcPr>
          <w:p w:rsidR="00090D20" w:rsidRPr="005251F3" w:rsidRDefault="00090D20" w:rsidP="00090D20">
            <w:pPr>
              <w:spacing w:before="80" w:line="276" w:lineRule="auto"/>
              <w:ind w:firstLine="504"/>
              <w:jc w:val="both"/>
              <w:rPr>
                <w:rFonts w:ascii="Arial" w:hAnsi="Arial" w:cs="Arial"/>
                <w:b/>
                <w:color w:val="000000"/>
                <w:sz w:val="20"/>
                <w:szCs w:val="20"/>
              </w:rPr>
            </w:pPr>
          </w:p>
        </w:tc>
        <w:tc>
          <w:tcPr>
            <w:tcW w:w="7546" w:type="dxa"/>
            <w:gridSpan w:val="3"/>
            <w:shd w:val="clear" w:color="auto" w:fill="auto"/>
          </w:tcPr>
          <w:p w:rsidR="00090D20" w:rsidRPr="005251F3" w:rsidRDefault="00090D20" w:rsidP="00090D20">
            <w:pPr>
              <w:spacing w:before="80" w:line="276" w:lineRule="auto"/>
              <w:jc w:val="both"/>
              <w:rPr>
                <w:rFonts w:ascii="Arial" w:hAnsi="Arial" w:cs="Arial"/>
                <w:b/>
                <w:sz w:val="20"/>
                <w:szCs w:val="20"/>
              </w:rPr>
            </w:pPr>
            <w:r w:rsidRPr="005251F3">
              <w:rPr>
                <w:rFonts w:ascii="Arial" w:hAnsi="Arial" w:cs="Arial"/>
                <w:b/>
                <w:sz w:val="20"/>
                <w:szCs w:val="20"/>
              </w:rPr>
              <w:t>Anrechenbare Kosten</w:t>
            </w:r>
          </w:p>
          <w:p w:rsidR="00090D20" w:rsidRPr="005251F3" w:rsidRDefault="00090D20" w:rsidP="00090D20">
            <w:pPr>
              <w:spacing w:before="80" w:line="276" w:lineRule="auto"/>
              <w:jc w:val="both"/>
              <w:rPr>
                <w:rFonts w:ascii="Arial" w:hAnsi="Arial" w:cs="Arial"/>
                <w:sz w:val="20"/>
                <w:szCs w:val="20"/>
              </w:rPr>
            </w:pPr>
            <w:r w:rsidRPr="005251F3">
              <w:rPr>
                <w:rFonts w:ascii="Arial" w:hAnsi="Arial" w:cs="Arial"/>
                <w:sz w:val="20"/>
                <w:szCs w:val="20"/>
              </w:rPr>
              <w:t>Besteht eine Baumaßnahme aus mehreren Objekten, so sind die Honorare vorbehaltlich der in § 11 HOAI geregelten Ausnahmen für jedes Objekt getrennt zu berechnen.</w:t>
            </w:r>
          </w:p>
          <w:p w:rsidR="00090D20" w:rsidRPr="005251F3" w:rsidRDefault="00090D20" w:rsidP="00090D20">
            <w:pPr>
              <w:spacing w:before="80" w:line="276" w:lineRule="auto"/>
              <w:jc w:val="both"/>
              <w:rPr>
                <w:rFonts w:ascii="Arial" w:hAnsi="Arial" w:cs="Arial"/>
                <w:sz w:val="20"/>
                <w:szCs w:val="20"/>
              </w:rPr>
            </w:pPr>
            <w:r w:rsidRPr="005251F3">
              <w:rPr>
                <w:rFonts w:ascii="Arial" w:hAnsi="Arial" w:cs="Arial"/>
                <w:sz w:val="20"/>
                <w:szCs w:val="20"/>
              </w:rPr>
              <w:t>Bei mehreren vergleichbaren Gebäuden, Ingenieurbauwerken, Verkehrsanlagen</w:t>
            </w:r>
            <w:r w:rsidR="0029556F" w:rsidRPr="005251F3">
              <w:rPr>
                <w:rFonts w:ascii="Arial" w:hAnsi="Arial" w:cs="Arial"/>
                <w:sz w:val="20"/>
                <w:szCs w:val="20"/>
              </w:rPr>
              <w:br/>
            </w:r>
            <w:r w:rsidRPr="005251F3">
              <w:rPr>
                <w:rFonts w:ascii="Arial" w:hAnsi="Arial" w:cs="Arial"/>
                <w:sz w:val="20"/>
                <w:szCs w:val="20"/>
              </w:rPr>
              <w:t>oder Tragwerken gemäß § 11 Absatz 2 HOAI sind die anrechenbaren Kosten zusammenzufassen. (§ 11 Absatz 2 HOAI gilt nicht für Freianlagen.)</w:t>
            </w:r>
          </w:p>
          <w:p w:rsidR="00090D20" w:rsidRPr="005251F3" w:rsidRDefault="00090D20" w:rsidP="00090D20">
            <w:pPr>
              <w:spacing w:before="80" w:line="276" w:lineRule="auto"/>
              <w:jc w:val="both"/>
              <w:rPr>
                <w:rFonts w:ascii="Arial" w:hAnsi="Arial" w:cs="Arial"/>
                <w:b/>
                <w:color w:val="000000"/>
                <w:sz w:val="20"/>
                <w:szCs w:val="20"/>
              </w:rPr>
            </w:pPr>
            <w:r w:rsidRPr="005251F3">
              <w:rPr>
                <w:rFonts w:ascii="Arial" w:hAnsi="Arial" w:cs="Arial"/>
                <w:sz w:val="20"/>
                <w:szCs w:val="20"/>
              </w:rPr>
              <w:t>Nach § 37 Absatz 1 HOAI sind die anrechenbaren Kosten für Grundleistungen von Freianlagen, die weniger als 7 500 Euro betragen, den anrechenbaren Kosten für Gebäude zuzurechnen.</w:t>
            </w:r>
          </w:p>
        </w:tc>
      </w:tr>
      <w:tr w:rsidR="006A7EFC" w:rsidRPr="005251F3" w:rsidTr="00061E91">
        <w:tc>
          <w:tcPr>
            <w:tcW w:w="1668" w:type="dxa"/>
            <w:shd w:val="clear" w:color="auto" w:fill="auto"/>
          </w:tcPr>
          <w:p w:rsidR="006A7EFC" w:rsidRPr="005251F3" w:rsidRDefault="006A7EFC" w:rsidP="00EC6527">
            <w:pPr>
              <w:spacing w:before="80" w:line="276" w:lineRule="auto"/>
              <w:ind w:firstLine="504"/>
              <w:jc w:val="both"/>
              <w:rPr>
                <w:rFonts w:ascii="Arial" w:hAnsi="Arial" w:cs="Arial"/>
                <w:b/>
                <w:color w:val="000000"/>
                <w:sz w:val="20"/>
                <w:szCs w:val="20"/>
              </w:rPr>
            </w:pPr>
          </w:p>
        </w:tc>
        <w:tc>
          <w:tcPr>
            <w:tcW w:w="7546" w:type="dxa"/>
            <w:gridSpan w:val="3"/>
            <w:shd w:val="clear" w:color="auto" w:fill="auto"/>
          </w:tcPr>
          <w:p w:rsidR="006A7EFC" w:rsidRPr="005251F3" w:rsidRDefault="006A7EFC" w:rsidP="00EC6527">
            <w:pPr>
              <w:spacing w:before="80" w:line="276" w:lineRule="auto"/>
              <w:jc w:val="both"/>
              <w:rPr>
                <w:rFonts w:ascii="Arial" w:hAnsi="Arial" w:cs="Arial"/>
                <w:sz w:val="20"/>
                <w:szCs w:val="20"/>
              </w:rPr>
            </w:pPr>
            <w:r w:rsidRPr="005251F3">
              <w:rPr>
                <w:rFonts w:ascii="Arial" w:hAnsi="Arial" w:cs="Arial"/>
                <w:sz w:val="20"/>
                <w:szCs w:val="20"/>
              </w:rPr>
              <w:t>Umfasst ein Auftrag über Leistungen der Technischen Ausrüstung mehrere Anlagen, die unter funktionalen und technischen Kriterien eine Einheit bilden und in unterschiedlichen Objekten geplant sind, so ist §</w:t>
            </w:r>
            <w:r w:rsidR="00FF7E4D" w:rsidRPr="005251F3">
              <w:rPr>
                <w:rFonts w:ascii="Arial" w:hAnsi="Arial" w:cs="Arial"/>
                <w:sz w:val="20"/>
                <w:szCs w:val="20"/>
              </w:rPr>
              <w:t> </w:t>
            </w:r>
            <w:r w:rsidRPr="005251F3">
              <w:rPr>
                <w:rFonts w:ascii="Arial" w:hAnsi="Arial" w:cs="Arial"/>
                <w:sz w:val="20"/>
                <w:szCs w:val="20"/>
              </w:rPr>
              <w:t>54</w:t>
            </w:r>
            <w:r w:rsidR="00936C7E" w:rsidRPr="005251F3">
              <w:rPr>
                <w:rFonts w:ascii="Arial" w:hAnsi="Arial" w:cs="Arial"/>
                <w:sz w:val="20"/>
                <w:szCs w:val="20"/>
              </w:rPr>
              <w:t xml:space="preserve"> </w:t>
            </w:r>
            <w:r w:rsidRPr="005251F3">
              <w:rPr>
                <w:rFonts w:ascii="Arial" w:hAnsi="Arial" w:cs="Arial"/>
                <w:sz w:val="20"/>
                <w:szCs w:val="20"/>
              </w:rPr>
              <w:t>Absatz</w:t>
            </w:r>
            <w:r w:rsidR="00936C7E" w:rsidRPr="005251F3">
              <w:rPr>
                <w:rFonts w:ascii="Arial" w:hAnsi="Arial" w:cs="Arial"/>
                <w:sz w:val="20"/>
                <w:szCs w:val="20"/>
              </w:rPr>
              <w:t xml:space="preserve"> </w:t>
            </w:r>
            <w:r w:rsidRPr="005251F3">
              <w:rPr>
                <w:rFonts w:ascii="Arial" w:hAnsi="Arial" w:cs="Arial"/>
                <w:sz w:val="20"/>
                <w:szCs w:val="20"/>
              </w:rPr>
              <w:t>2</w:t>
            </w:r>
            <w:r w:rsidR="00936C7E" w:rsidRPr="005251F3">
              <w:rPr>
                <w:rFonts w:ascii="Arial" w:hAnsi="Arial" w:cs="Arial"/>
                <w:sz w:val="20"/>
                <w:szCs w:val="20"/>
              </w:rPr>
              <w:t xml:space="preserve"> HOAI zu beachten.</w:t>
            </w:r>
          </w:p>
          <w:p w:rsidR="006A7EFC" w:rsidRPr="005251F3" w:rsidRDefault="006A7EFC" w:rsidP="00EC6527">
            <w:pPr>
              <w:spacing w:before="80" w:line="276" w:lineRule="auto"/>
              <w:jc w:val="both"/>
              <w:rPr>
                <w:rFonts w:ascii="Arial" w:hAnsi="Arial" w:cs="Arial"/>
                <w:sz w:val="20"/>
                <w:szCs w:val="20"/>
              </w:rPr>
            </w:pPr>
            <w:r w:rsidRPr="005251F3">
              <w:rPr>
                <w:rFonts w:ascii="Arial" w:hAnsi="Arial" w:cs="Arial"/>
                <w:sz w:val="20"/>
                <w:szCs w:val="20"/>
              </w:rPr>
              <w:t>Bei Leistungen im Bestand sind die anrechenbaren Kosten der mitzuverarbeitenden Bausubstanz (mvB) angemessen zu berücksichtigen (§</w:t>
            </w:r>
            <w:r w:rsidR="00FF7E4D" w:rsidRPr="005251F3">
              <w:rPr>
                <w:rFonts w:ascii="Arial" w:hAnsi="Arial" w:cs="Arial"/>
                <w:sz w:val="20"/>
                <w:szCs w:val="20"/>
              </w:rPr>
              <w:t> </w:t>
            </w:r>
            <w:r w:rsidRPr="005251F3">
              <w:rPr>
                <w:rFonts w:ascii="Arial" w:hAnsi="Arial" w:cs="Arial"/>
                <w:sz w:val="20"/>
                <w:szCs w:val="20"/>
              </w:rPr>
              <w:t>4</w:t>
            </w:r>
            <w:r w:rsidR="00936C7E" w:rsidRPr="005251F3">
              <w:rPr>
                <w:rFonts w:ascii="Arial" w:hAnsi="Arial" w:cs="Arial"/>
                <w:sz w:val="20"/>
                <w:szCs w:val="20"/>
              </w:rPr>
              <w:t xml:space="preserve"> </w:t>
            </w:r>
            <w:r w:rsidR="00FF7E4D" w:rsidRPr="005251F3">
              <w:rPr>
                <w:rFonts w:ascii="Arial" w:hAnsi="Arial" w:cs="Arial"/>
                <w:sz w:val="20"/>
                <w:szCs w:val="20"/>
              </w:rPr>
              <w:t>Absatz</w:t>
            </w:r>
            <w:r w:rsidR="00936C7E" w:rsidRPr="005251F3">
              <w:rPr>
                <w:rFonts w:ascii="Arial" w:hAnsi="Arial" w:cs="Arial"/>
                <w:sz w:val="20"/>
                <w:szCs w:val="20"/>
              </w:rPr>
              <w:t xml:space="preserve"> </w:t>
            </w:r>
            <w:r w:rsidRPr="005251F3">
              <w:rPr>
                <w:rFonts w:ascii="Arial" w:hAnsi="Arial" w:cs="Arial"/>
                <w:sz w:val="20"/>
                <w:szCs w:val="20"/>
              </w:rPr>
              <w:t>3</w:t>
            </w:r>
            <w:r w:rsidR="00936C7E" w:rsidRPr="005251F3">
              <w:rPr>
                <w:rFonts w:ascii="Arial" w:hAnsi="Arial" w:cs="Arial"/>
                <w:sz w:val="20"/>
                <w:szCs w:val="20"/>
              </w:rPr>
              <w:t xml:space="preserve"> </w:t>
            </w:r>
            <w:r w:rsidRPr="005251F3">
              <w:rPr>
                <w:rFonts w:ascii="Arial" w:hAnsi="Arial" w:cs="Arial"/>
                <w:sz w:val="20"/>
                <w:szCs w:val="20"/>
              </w:rPr>
              <w:t>HOAI). Die anrechenbaren Kosten der mvB sind im Zuge der Honorarermittlung auf Grundlage der Kostenberechnung und, soweit diese noch nicht vorliegt, auf Grundlage der Kostenschätzung festzulegen (§</w:t>
            </w:r>
            <w:r w:rsidR="00FF7E4D" w:rsidRPr="005251F3">
              <w:rPr>
                <w:rFonts w:ascii="Arial" w:hAnsi="Arial" w:cs="Arial"/>
                <w:sz w:val="20"/>
                <w:szCs w:val="20"/>
              </w:rPr>
              <w:t> </w:t>
            </w:r>
            <w:r w:rsidRPr="005251F3">
              <w:rPr>
                <w:rFonts w:ascii="Arial" w:hAnsi="Arial" w:cs="Arial"/>
                <w:sz w:val="20"/>
                <w:szCs w:val="20"/>
              </w:rPr>
              <w:t>6</w:t>
            </w:r>
            <w:r w:rsidR="00936C7E" w:rsidRPr="005251F3">
              <w:rPr>
                <w:rFonts w:ascii="Arial" w:hAnsi="Arial" w:cs="Arial"/>
                <w:sz w:val="20"/>
                <w:szCs w:val="20"/>
              </w:rPr>
              <w:t xml:space="preserve"> </w:t>
            </w:r>
            <w:r w:rsidRPr="005251F3">
              <w:rPr>
                <w:rFonts w:ascii="Arial" w:hAnsi="Arial" w:cs="Arial"/>
                <w:sz w:val="20"/>
                <w:szCs w:val="20"/>
              </w:rPr>
              <w:t>Absatz</w:t>
            </w:r>
            <w:r w:rsidR="00936C7E" w:rsidRPr="005251F3">
              <w:rPr>
                <w:rFonts w:ascii="Arial" w:hAnsi="Arial" w:cs="Arial"/>
                <w:sz w:val="20"/>
                <w:szCs w:val="20"/>
              </w:rPr>
              <w:t xml:space="preserve"> </w:t>
            </w:r>
            <w:r w:rsidRPr="005251F3">
              <w:rPr>
                <w:rFonts w:ascii="Arial" w:hAnsi="Arial" w:cs="Arial"/>
                <w:sz w:val="20"/>
                <w:szCs w:val="20"/>
              </w:rPr>
              <w:t>1</w:t>
            </w:r>
            <w:r w:rsidR="00936C7E" w:rsidRPr="005251F3">
              <w:rPr>
                <w:rFonts w:ascii="Arial" w:hAnsi="Arial" w:cs="Arial"/>
                <w:sz w:val="20"/>
                <w:szCs w:val="20"/>
              </w:rPr>
              <w:t xml:space="preserve"> </w:t>
            </w:r>
            <w:r w:rsidRPr="005251F3">
              <w:rPr>
                <w:rFonts w:ascii="Arial" w:hAnsi="Arial" w:cs="Arial"/>
                <w:sz w:val="20"/>
                <w:szCs w:val="20"/>
              </w:rPr>
              <w:t>Nummer</w:t>
            </w:r>
            <w:r w:rsidR="00936C7E" w:rsidRPr="005251F3">
              <w:rPr>
                <w:rFonts w:ascii="Arial" w:hAnsi="Arial" w:cs="Arial"/>
                <w:sz w:val="20"/>
                <w:szCs w:val="20"/>
              </w:rPr>
              <w:t xml:space="preserve"> </w:t>
            </w:r>
            <w:r w:rsidRPr="005251F3">
              <w:rPr>
                <w:rFonts w:ascii="Arial" w:hAnsi="Arial" w:cs="Arial"/>
                <w:sz w:val="20"/>
                <w:szCs w:val="20"/>
              </w:rPr>
              <w:t>1</w:t>
            </w:r>
            <w:r w:rsidR="00936C7E" w:rsidRPr="005251F3">
              <w:rPr>
                <w:rFonts w:ascii="Arial" w:hAnsi="Arial" w:cs="Arial"/>
                <w:sz w:val="20"/>
                <w:szCs w:val="20"/>
              </w:rPr>
              <w:t xml:space="preserve"> </w:t>
            </w:r>
            <w:r w:rsidRPr="005251F3">
              <w:rPr>
                <w:rFonts w:ascii="Arial" w:hAnsi="Arial" w:cs="Arial"/>
                <w:sz w:val="20"/>
                <w:szCs w:val="20"/>
              </w:rPr>
              <w:t>HOAI).</w:t>
            </w:r>
          </w:p>
          <w:p w:rsidR="006A7EFC" w:rsidRPr="005251F3" w:rsidRDefault="006A7EFC" w:rsidP="00EC6527">
            <w:pPr>
              <w:spacing w:before="80" w:line="276" w:lineRule="auto"/>
              <w:jc w:val="both"/>
              <w:rPr>
                <w:rFonts w:ascii="Arial" w:hAnsi="Arial" w:cs="Arial"/>
                <w:sz w:val="20"/>
                <w:szCs w:val="20"/>
              </w:rPr>
            </w:pPr>
            <w:r w:rsidRPr="005251F3">
              <w:rPr>
                <w:rFonts w:ascii="Arial" w:hAnsi="Arial" w:cs="Arial"/>
                <w:sz w:val="20"/>
                <w:szCs w:val="20"/>
              </w:rPr>
              <w:t>Bei der Ermittlung der anrechenbaren Kosten der mvB sind sowohl der Umfang als auch der Wert der mvB zu bestimmen. Bei der Wertermittlung sind zum einen der tatsächliche Erhaltungszustand der Bausubstanz und zum anderen die leistungsbezogene Berücksichtigung in den einzelnen Leistungsphasen maßgebend.</w:t>
            </w:r>
          </w:p>
          <w:p w:rsidR="006A7EFC" w:rsidRPr="005251F3" w:rsidRDefault="006A7EFC" w:rsidP="00EC6527">
            <w:pPr>
              <w:spacing w:before="80" w:line="276" w:lineRule="auto"/>
              <w:jc w:val="both"/>
              <w:rPr>
                <w:rFonts w:ascii="Arial" w:hAnsi="Arial" w:cs="Arial"/>
                <w:sz w:val="20"/>
                <w:szCs w:val="20"/>
              </w:rPr>
            </w:pPr>
            <w:r w:rsidRPr="005251F3">
              <w:rPr>
                <w:rFonts w:ascii="Arial" w:hAnsi="Arial" w:cs="Arial"/>
                <w:sz w:val="20"/>
                <w:szCs w:val="20"/>
              </w:rPr>
              <w:t>Bei der Ermittlung des Umfangs der mvB ist nur die Bausubstanz zu berücksichtigen, die technisch oder gestalterisch mitverarbeitet wird (§</w:t>
            </w:r>
            <w:r w:rsidR="00FF7E4D" w:rsidRPr="005251F3">
              <w:rPr>
                <w:rFonts w:ascii="Arial" w:hAnsi="Arial" w:cs="Arial"/>
                <w:sz w:val="20"/>
                <w:szCs w:val="20"/>
              </w:rPr>
              <w:t> </w:t>
            </w:r>
            <w:r w:rsidRPr="005251F3">
              <w:rPr>
                <w:rFonts w:ascii="Arial" w:hAnsi="Arial" w:cs="Arial"/>
                <w:sz w:val="20"/>
                <w:szCs w:val="20"/>
              </w:rPr>
              <w:t>2</w:t>
            </w:r>
            <w:r w:rsidR="00936C7E" w:rsidRPr="005251F3">
              <w:rPr>
                <w:rFonts w:ascii="Arial" w:hAnsi="Arial" w:cs="Arial"/>
                <w:sz w:val="20"/>
                <w:szCs w:val="20"/>
              </w:rPr>
              <w:t xml:space="preserve"> </w:t>
            </w:r>
            <w:r w:rsidRPr="005251F3">
              <w:rPr>
                <w:rFonts w:ascii="Arial" w:hAnsi="Arial" w:cs="Arial"/>
                <w:sz w:val="20"/>
                <w:szCs w:val="20"/>
              </w:rPr>
              <w:t>Absatz</w:t>
            </w:r>
            <w:r w:rsidR="00936C7E" w:rsidRPr="005251F3">
              <w:rPr>
                <w:rFonts w:ascii="Arial" w:hAnsi="Arial" w:cs="Arial"/>
                <w:sz w:val="20"/>
                <w:szCs w:val="20"/>
              </w:rPr>
              <w:t xml:space="preserve"> </w:t>
            </w:r>
            <w:r w:rsidRPr="005251F3">
              <w:rPr>
                <w:rFonts w:ascii="Arial" w:hAnsi="Arial" w:cs="Arial"/>
                <w:sz w:val="20"/>
                <w:szCs w:val="20"/>
              </w:rPr>
              <w:t>7</w:t>
            </w:r>
            <w:r w:rsidR="00936C7E" w:rsidRPr="005251F3">
              <w:rPr>
                <w:rFonts w:ascii="Arial" w:hAnsi="Arial" w:cs="Arial"/>
                <w:sz w:val="20"/>
                <w:szCs w:val="20"/>
              </w:rPr>
              <w:t xml:space="preserve"> </w:t>
            </w:r>
            <w:r w:rsidRPr="005251F3">
              <w:rPr>
                <w:rFonts w:ascii="Arial" w:hAnsi="Arial" w:cs="Arial"/>
                <w:sz w:val="20"/>
                <w:szCs w:val="20"/>
              </w:rPr>
              <w:t>HOAI).</w:t>
            </w:r>
          </w:p>
          <w:p w:rsidR="006A7EFC" w:rsidRPr="005251F3" w:rsidRDefault="006A7EFC" w:rsidP="00EC6527">
            <w:pPr>
              <w:spacing w:before="80" w:line="276" w:lineRule="auto"/>
              <w:jc w:val="both"/>
              <w:rPr>
                <w:rFonts w:ascii="Arial" w:hAnsi="Arial" w:cs="Arial"/>
                <w:sz w:val="20"/>
                <w:szCs w:val="20"/>
              </w:rPr>
            </w:pPr>
            <w:r w:rsidRPr="005251F3">
              <w:rPr>
                <w:rFonts w:ascii="Arial" w:hAnsi="Arial" w:cs="Arial"/>
                <w:sz w:val="20"/>
                <w:szCs w:val="20"/>
              </w:rPr>
              <w:t xml:space="preserve">Siehe hierzu </w:t>
            </w:r>
            <w:r w:rsidR="00A06EC4" w:rsidRPr="005251F3">
              <w:rPr>
                <w:rFonts w:ascii="Arial" w:hAnsi="Arial" w:cs="Arial"/>
                <w:sz w:val="20"/>
                <w:szCs w:val="20"/>
              </w:rPr>
              <w:t xml:space="preserve">auch </w:t>
            </w:r>
            <w:r w:rsidRPr="005251F3">
              <w:rPr>
                <w:rFonts w:ascii="Arial" w:hAnsi="Arial" w:cs="Arial"/>
                <w:sz w:val="20"/>
                <w:szCs w:val="20"/>
              </w:rPr>
              <w:t>V.B.4 (Regelungen bei Umbauten und Modernisierungen)</w:t>
            </w:r>
          </w:p>
          <w:p w:rsidR="006A7EFC" w:rsidRPr="005251F3" w:rsidRDefault="006A7EFC" w:rsidP="00EC6527">
            <w:pPr>
              <w:spacing w:before="80" w:line="276" w:lineRule="auto"/>
              <w:jc w:val="both"/>
              <w:rPr>
                <w:rFonts w:ascii="Arial" w:hAnsi="Arial" w:cs="Arial"/>
                <w:sz w:val="20"/>
                <w:szCs w:val="20"/>
              </w:rPr>
            </w:pPr>
            <w:r w:rsidRPr="005251F3">
              <w:rPr>
                <w:rFonts w:ascii="Arial" w:hAnsi="Arial" w:cs="Arial"/>
                <w:sz w:val="20"/>
                <w:szCs w:val="20"/>
              </w:rPr>
              <w:t>Auch bei Leistungen für Freianlagen setzt die Berücksichtigung der mvB voraus, dass Bausubstanz mitverarbeitet wird. Vegetation ist nur dann anrechenbar, wenn diese in die bauliche Anlage eingebunden und gestaltet ist, z.</w:t>
            </w:r>
            <w:r w:rsidR="00CC4614" w:rsidRPr="005251F3">
              <w:rPr>
                <w:rFonts w:ascii="Arial" w:hAnsi="Arial" w:cs="Arial"/>
                <w:sz w:val="20"/>
                <w:szCs w:val="20"/>
              </w:rPr>
              <w:t xml:space="preserve"> </w:t>
            </w:r>
            <w:r w:rsidRPr="005251F3">
              <w:rPr>
                <w:rFonts w:ascii="Arial" w:hAnsi="Arial" w:cs="Arial"/>
                <w:sz w:val="20"/>
                <w:szCs w:val="20"/>
              </w:rPr>
              <w:t>B. begrünte Flachdächer.</w:t>
            </w:r>
          </w:p>
          <w:p w:rsidR="00FB237D" w:rsidRPr="005251F3" w:rsidRDefault="00FB237D" w:rsidP="00EC6527">
            <w:pPr>
              <w:spacing w:before="80" w:line="276" w:lineRule="auto"/>
              <w:jc w:val="both"/>
              <w:rPr>
                <w:rFonts w:ascii="Arial" w:hAnsi="Arial" w:cs="Arial"/>
                <w:b/>
                <w:color w:val="000000"/>
                <w:sz w:val="20"/>
                <w:szCs w:val="20"/>
              </w:rPr>
            </w:pPr>
          </w:p>
        </w:tc>
      </w:tr>
      <w:tr w:rsidR="007068D1" w:rsidRPr="005251F3" w:rsidTr="00061E91">
        <w:trPr>
          <w:cantSplit/>
        </w:trPr>
        <w:tc>
          <w:tcPr>
            <w:tcW w:w="1668" w:type="dxa"/>
            <w:shd w:val="clear" w:color="auto" w:fill="auto"/>
          </w:tcPr>
          <w:p w:rsidR="007068D1" w:rsidRPr="005251F3" w:rsidRDefault="007D0A63" w:rsidP="005251F3">
            <w:pPr>
              <w:spacing w:before="80" w:line="276" w:lineRule="auto"/>
              <w:rPr>
                <w:rFonts w:ascii="Arial" w:hAnsi="Arial" w:cs="Arial"/>
                <w:sz w:val="20"/>
                <w:szCs w:val="20"/>
              </w:rPr>
            </w:pPr>
            <w:r w:rsidRPr="005251F3">
              <w:rPr>
                <w:rFonts w:ascii="Arial" w:hAnsi="Arial" w:cs="Arial"/>
                <w:b/>
                <w:sz w:val="20"/>
                <w:szCs w:val="20"/>
              </w:rPr>
              <w:t>Zu</w:t>
            </w:r>
            <w:r w:rsidR="008F05F5" w:rsidRPr="005251F3">
              <w:rPr>
                <w:rFonts w:ascii="Arial" w:hAnsi="Arial" w:cs="Arial"/>
                <w:b/>
                <w:sz w:val="20"/>
                <w:szCs w:val="20"/>
              </w:rPr>
              <w:t xml:space="preserve"> 10</w:t>
            </w:r>
            <w:r w:rsidR="00ED6A89" w:rsidRPr="005251F3">
              <w:rPr>
                <w:rFonts w:ascii="Arial" w:hAnsi="Arial" w:cs="Arial"/>
                <w:b/>
                <w:sz w:val="20"/>
                <w:szCs w:val="20"/>
              </w:rPr>
              <w:t>.2</w:t>
            </w:r>
            <w:r w:rsidR="00CC4614" w:rsidRPr="005251F3">
              <w:rPr>
                <w:rFonts w:ascii="Arial" w:hAnsi="Arial" w:cs="Arial"/>
                <w:b/>
                <w:sz w:val="20"/>
                <w:szCs w:val="20"/>
              </w:rPr>
              <w:t>-10.7</w:t>
            </w:r>
          </w:p>
        </w:tc>
        <w:tc>
          <w:tcPr>
            <w:tcW w:w="7546" w:type="dxa"/>
            <w:gridSpan w:val="3"/>
            <w:shd w:val="clear" w:color="auto" w:fill="auto"/>
          </w:tcPr>
          <w:p w:rsidR="00CC4614" w:rsidRPr="005251F3" w:rsidRDefault="004127CE" w:rsidP="00EC6527">
            <w:pPr>
              <w:spacing w:before="80" w:line="276" w:lineRule="auto"/>
              <w:jc w:val="both"/>
              <w:rPr>
                <w:rFonts w:ascii="Arial" w:hAnsi="Arial" w:cs="Arial"/>
                <w:sz w:val="20"/>
                <w:szCs w:val="20"/>
              </w:rPr>
            </w:pPr>
            <w:r w:rsidRPr="005251F3">
              <w:rPr>
                <w:rFonts w:ascii="Arial" w:hAnsi="Arial" w:cs="Arial"/>
                <w:sz w:val="20"/>
                <w:szCs w:val="20"/>
              </w:rPr>
              <w:t xml:space="preserve">Nachfolgende Honorarparameter sind in der Anlage zu </w:t>
            </w:r>
            <w:r w:rsidRPr="005251F3">
              <w:rPr>
                <w:rFonts w:ascii="Arial" w:hAnsi="Arial" w:cs="Arial"/>
                <w:color w:val="000000"/>
                <w:sz w:val="20"/>
                <w:szCs w:val="20"/>
              </w:rPr>
              <w:t>§§ 8, 10 und 11 (Honorarangebot für</w:t>
            </w:r>
            <w:r w:rsidR="00A53E9E">
              <w:rPr>
                <w:rFonts w:ascii="Arial" w:hAnsi="Arial" w:cs="Arial"/>
                <w:color w:val="000000"/>
                <w:sz w:val="20"/>
                <w:szCs w:val="20"/>
              </w:rPr>
              <w:t> </w:t>
            </w:r>
            <w:r w:rsidR="009651F3" w:rsidRPr="005251F3">
              <w:rPr>
                <w:rFonts w:ascii="Arial" w:hAnsi="Arial" w:cs="Arial"/>
                <w:color w:val="000000"/>
                <w:sz w:val="20"/>
                <w:szCs w:val="20"/>
              </w:rPr>
              <w:t>…</w:t>
            </w:r>
            <w:r w:rsidRPr="005251F3">
              <w:rPr>
                <w:rFonts w:ascii="Arial" w:hAnsi="Arial" w:cs="Arial"/>
                <w:color w:val="000000"/>
                <w:sz w:val="20"/>
                <w:szCs w:val="20"/>
              </w:rPr>
              <w:t>)</w:t>
            </w:r>
            <w:r w:rsidRPr="005251F3">
              <w:rPr>
                <w:rFonts w:ascii="Arial" w:hAnsi="Arial" w:cs="Arial"/>
                <w:sz w:val="20"/>
                <w:szCs w:val="20"/>
              </w:rPr>
              <w:t xml:space="preserve"> festzulegen.</w:t>
            </w:r>
            <w:r w:rsidR="003E265D" w:rsidRPr="005251F3">
              <w:rPr>
                <w:rFonts w:ascii="Arial" w:hAnsi="Arial" w:cs="Arial"/>
                <w:sz w:val="20"/>
                <w:szCs w:val="20"/>
              </w:rPr>
              <w:t xml:space="preserve"> </w:t>
            </w:r>
            <w:r w:rsidR="00CC4614" w:rsidRPr="005251F3">
              <w:rPr>
                <w:rFonts w:ascii="Arial" w:hAnsi="Arial" w:cs="Arial"/>
                <w:sz w:val="20"/>
                <w:szCs w:val="20"/>
              </w:rPr>
              <w:t xml:space="preserve">Das Honorar </w:t>
            </w:r>
            <w:r w:rsidR="00E13D04" w:rsidRPr="005251F3">
              <w:rPr>
                <w:rFonts w:ascii="Arial" w:hAnsi="Arial" w:cs="Arial"/>
                <w:sz w:val="20"/>
                <w:szCs w:val="20"/>
              </w:rPr>
              <w:t xml:space="preserve">für die Leistungen </w:t>
            </w:r>
            <w:r w:rsidR="00CC4614" w:rsidRPr="005251F3">
              <w:rPr>
                <w:rFonts w:ascii="Arial" w:hAnsi="Arial" w:cs="Arial"/>
                <w:sz w:val="20"/>
                <w:szCs w:val="20"/>
              </w:rPr>
              <w:t>des Auftragnehmers berechnet sich auf Grundlage der im bezuschlagten Angebot</w:t>
            </w:r>
            <w:r w:rsidR="003E265D" w:rsidRPr="005251F3">
              <w:rPr>
                <w:rFonts w:ascii="Arial" w:hAnsi="Arial" w:cs="Arial"/>
                <w:sz w:val="20"/>
                <w:szCs w:val="20"/>
              </w:rPr>
              <w:t xml:space="preserve"> vereinbarten</w:t>
            </w:r>
            <w:r w:rsidR="00CC4614" w:rsidRPr="005251F3">
              <w:rPr>
                <w:rFonts w:ascii="Arial" w:hAnsi="Arial" w:cs="Arial"/>
                <w:sz w:val="20"/>
                <w:szCs w:val="20"/>
              </w:rPr>
              <w:t xml:space="preserve"> Honorarparametern sowie </w:t>
            </w:r>
            <w:r w:rsidR="00E13D04" w:rsidRPr="005251F3">
              <w:rPr>
                <w:rFonts w:ascii="Arial" w:hAnsi="Arial" w:cs="Arial"/>
                <w:sz w:val="20"/>
                <w:szCs w:val="20"/>
              </w:rPr>
              <w:t xml:space="preserve">nach dem </w:t>
            </w:r>
            <w:r w:rsidR="00CC4614" w:rsidRPr="005251F3">
              <w:rPr>
                <w:rFonts w:ascii="Arial" w:hAnsi="Arial" w:cs="Arial"/>
                <w:sz w:val="20"/>
                <w:szCs w:val="20"/>
              </w:rPr>
              <w:t xml:space="preserve">ggf. </w:t>
            </w:r>
            <w:r w:rsidR="00E13D04" w:rsidRPr="005251F3">
              <w:rPr>
                <w:rFonts w:ascii="Arial" w:hAnsi="Arial" w:cs="Arial"/>
                <w:sz w:val="20"/>
                <w:szCs w:val="20"/>
              </w:rPr>
              <w:t xml:space="preserve">vereinbarten </w:t>
            </w:r>
            <w:r w:rsidR="00CC4614" w:rsidRPr="005251F3">
              <w:rPr>
                <w:rFonts w:ascii="Arial" w:hAnsi="Arial" w:cs="Arial"/>
                <w:sz w:val="20"/>
                <w:szCs w:val="20"/>
              </w:rPr>
              <w:t xml:space="preserve">Zu- </w:t>
            </w:r>
            <w:r w:rsidR="00E13D04" w:rsidRPr="005251F3">
              <w:rPr>
                <w:rFonts w:ascii="Arial" w:hAnsi="Arial" w:cs="Arial"/>
                <w:sz w:val="20"/>
                <w:szCs w:val="20"/>
              </w:rPr>
              <w:t>oder</w:t>
            </w:r>
            <w:r w:rsidR="00CC4614" w:rsidRPr="005251F3">
              <w:rPr>
                <w:rFonts w:ascii="Arial" w:hAnsi="Arial" w:cs="Arial"/>
                <w:sz w:val="20"/>
                <w:szCs w:val="20"/>
              </w:rPr>
              <w:t xml:space="preserve"> Abschlag auf das Gesamthonorar der Grundleistungen. </w:t>
            </w:r>
          </w:p>
          <w:p w:rsidR="008E527B" w:rsidRPr="005251F3" w:rsidRDefault="008E527B" w:rsidP="00EC6527">
            <w:pPr>
              <w:spacing w:before="80" w:line="276" w:lineRule="auto"/>
              <w:jc w:val="both"/>
              <w:rPr>
                <w:rFonts w:ascii="Arial" w:hAnsi="Arial" w:cs="Arial"/>
                <w:b/>
                <w:sz w:val="20"/>
                <w:szCs w:val="20"/>
              </w:rPr>
            </w:pPr>
          </w:p>
          <w:p w:rsidR="007D0A63" w:rsidRPr="005251F3" w:rsidRDefault="007D0A63" w:rsidP="00EC6527">
            <w:pPr>
              <w:spacing w:before="80" w:line="276" w:lineRule="auto"/>
              <w:jc w:val="both"/>
              <w:rPr>
                <w:rFonts w:ascii="Arial" w:hAnsi="Arial" w:cs="Arial"/>
                <w:b/>
                <w:sz w:val="20"/>
                <w:szCs w:val="20"/>
              </w:rPr>
            </w:pPr>
            <w:r w:rsidRPr="005251F3">
              <w:rPr>
                <w:rFonts w:ascii="Arial" w:hAnsi="Arial" w:cs="Arial"/>
                <w:b/>
                <w:sz w:val="20"/>
                <w:szCs w:val="20"/>
              </w:rPr>
              <w:t>Honorarzone</w:t>
            </w:r>
            <w:r w:rsidR="006972A6" w:rsidRPr="005251F3">
              <w:rPr>
                <w:rFonts w:ascii="Arial" w:hAnsi="Arial" w:cs="Arial"/>
                <w:b/>
                <w:sz w:val="20"/>
                <w:szCs w:val="20"/>
              </w:rPr>
              <w:t>n</w:t>
            </w:r>
          </w:p>
          <w:p w:rsidR="007068D1" w:rsidRPr="005251F3" w:rsidRDefault="00534D05" w:rsidP="00936C7E">
            <w:pPr>
              <w:spacing w:before="80" w:line="276" w:lineRule="auto"/>
              <w:jc w:val="both"/>
              <w:rPr>
                <w:rFonts w:ascii="Arial" w:hAnsi="Arial" w:cs="Arial"/>
                <w:sz w:val="20"/>
                <w:szCs w:val="20"/>
              </w:rPr>
            </w:pPr>
            <w:r w:rsidRPr="005251F3">
              <w:rPr>
                <w:rFonts w:ascii="Arial" w:hAnsi="Arial" w:cs="Arial"/>
                <w:sz w:val="20"/>
                <w:szCs w:val="20"/>
              </w:rPr>
              <w:t>Die Honorarzone für das jeweilige Objekt ist gemäß §</w:t>
            </w:r>
            <w:r w:rsidR="00FF7E4D" w:rsidRPr="005251F3">
              <w:rPr>
                <w:rFonts w:ascii="Arial" w:hAnsi="Arial" w:cs="Arial"/>
                <w:sz w:val="20"/>
                <w:szCs w:val="20"/>
              </w:rPr>
              <w:t> </w:t>
            </w:r>
            <w:r w:rsidRPr="005251F3">
              <w:rPr>
                <w:rFonts w:ascii="Arial" w:hAnsi="Arial" w:cs="Arial"/>
                <w:sz w:val="20"/>
                <w:szCs w:val="20"/>
              </w:rPr>
              <w:t>5</w:t>
            </w:r>
            <w:r w:rsidR="00936C7E" w:rsidRPr="005251F3">
              <w:rPr>
                <w:rFonts w:ascii="Arial" w:hAnsi="Arial" w:cs="Arial"/>
                <w:sz w:val="20"/>
                <w:szCs w:val="20"/>
              </w:rPr>
              <w:t xml:space="preserve"> </w:t>
            </w:r>
            <w:r w:rsidR="007E0033" w:rsidRPr="005251F3">
              <w:rPr>
                <w:rFonts w:ascii="Arial" w:hAnsi="Arial" w:cs="Arial"/>
                <w:sz w:val="20"/>
                <w:szCs w:val="20"/>
              </w:rPr>
              <w:t>H</w:t>
            </w:r>
            <w:r w:rsidR="00E235CB" w:rsidRPr="005251F3">
              <w:rPr>
                <w:rFonts w:ascii="Arial" w:hAnsi="Arial" w:cs="Arial"/>
                <w:sz w:val="20"/>
                <w:szCs w:val="20"/>
              </w:rPr>
              <w:t>OAI</w:t>
            </w:r>
            <w:r w:rsidRPr="005251F3">
              <w:rPr>
                <w:rFonts w:ascii="Arial" w:hAnsi="Arial" w:cs="Arial"/>
                <w:sz w:val="20"/>
                <w:szCs w:val="20"/>
              </w:rPr>
              <w:t xml:space="preserve"> und </w:t>
            </w:r>
            <w:r w:rsidR="00E235CB" w:rsidRPr="005251F3">
              <w:rPr>
                <w:rFonts w:ascii="Arial" w:hAnsi="Arial" w:cs="Arial"/>
                <w:sz w:val="20"/>
                <w:szCs w:val="20"/>
              </w:rPr>
              <w:t xml:space="preserve">den leistungsbildspezifischen Festlegungen unter den Regelungen zu den Honoraren </w:t>
            </w:r>
            <w:r w:rsidRPr="005251F3">
              <w:rPr>
                <w:rFonts w:ascii="Arial" w:hAnsi="Arial" w:cs="Arial"/>
                <w:sz w:val="20"/>
                <w:szCs w:val="20"/>
              </w:rPr>
              <w:t>festzulegen</w:t>
            </w:r>
            <w:r w:rsidR="004E00BA" w:rsidRPr="005251F3">
              <w:rPr>
                <w:rFonts w:ascii="Arial" w:hAnsi="Arial" w:cs="Arial"/>
                <w:sz w:val="20"/>
                <w:szCs w:val="20"/>
              </w:rPr>
              <w:t>.</w:t>
            </w:r>
            <w:r w:rsidRPr="005251F3">
              <w:rPr>
                <w:rFonts w:ascii="Arial" w:hAnsi="Arial" w:cs="Arial"/>
                <w:sz w:val="20"/>
                <w:szCs w:val="20"/>
              </w:rPr>
              <w:t xml:space="preserve"> Bei Umbauten und Modernisierungen erfolgt die Festlegung der Honorarzonen gemäß §</w:t>
            </w:r>
            <w:r w:rsidR="00FF7E4D" w:rsidRPr="005251F3">
              <w:rPr>
                <w:rFonts w:ascii="Arial" w:hAnsi="Arial" w:cs="Arial"/>
                <w:sz w:val="20"/>
                <w:szCs w:val="20"/>
              </w:rPr>
              <w:t> </w:t>
            </w:r>
            <w:r w:rsidRPr="005251F3">
              <w:rPr>
                <w:rFonts w:ascii="Arial" w:hAnsi="Arial" w:cs="Arial"/>
                <w:sz w:val="20"/>
                <w:szCs w:val="20"/>
              </w:rPr>
              <w:t>6</w:t>
            </w:r>
            <w:r w:rsidR="00936C7E" w:rsidRPr="005251F3">
              <w:rPr>
                <w:rFonts w:ascii="Arial" w:hAnsi="Arial" w:cs="Arial"/>
                <w:sz w:val="20"/>
                <w:szCs w:val="20"/>
              </w:rPr>
              <w:t xml:space="preserve"> </w:t>
            </w:r>
            <w:r w:rsidRPr="005251F3">
              <w:rPr>
                <w:rFonts w:ascii="Arial" w:hAnsi="Arial" w:cs="Arial"/>
                <w:sz w:val="20"/>
                <w:szCs w:val="20"/>
              </w:rPr>
              <w:t>Absatz</w:t>
            </w:r>
            <w:r w:rsidR="00936C7E" w:rsidRPr="005251F3">
              <w:rPr>
                <w:rFonts w:ascii="Arial" w:hAnsi="Arial" w:cs="Arial"/>
                <w:sz w:val="20"/>
                <w:szCs w:val="20"/>
              </w:rPr>
              <w:t xml:space="preserve"> </w:t>
            </w:r>
            <w:r w:rsidRPr="005251F3">
              <w:rPr>
                <w:rFonts w:ascii="Arial" w:hAnsi="Arial" w:cs="Arial"/>
                <w:sz w:val="20"/>
                <w:szCs w:val="20"/>
              </w:rPr>
              <w:t>2</w:t>
            </w:r>
            <w:r w:rsidR="00936C7E" w:rsidRPr="005251F3">
              <w:rPr>
                <w:rFonts w:ascii="Arial" w:hAnsi="Arial" w:cs="Arial"/>
                <w:sz w:val="20"/>
                <w:szCs w:val="20"/>
              </w:rPr>
              <w:t xml:space="preserve"> </w:t>
            </w:r>
            <w:r w:rsidR="00E235CB" w:rsidRPr="005251F3">
              <w:rPr>
                <w:rFonts w:ascii="Arial" w:hAnsi="Arial" w:cs="Arial"/>
                <w:sz w:val="20"/>
                <w:szCs w:val="20"/>
              </w:rPr>
              <w:t>HOAI</w:t>
            </w:r>
            <w:r w:rsidRPr="005251F3">
              <w:rPr>
                <w:rFonts w:ascii="Arial" w:hAnsi="Arial" w:cs="Arial"/>
                <w:sz w:val="20"/>
                <w:szCs w:val="20"/>
              </w:rPr>
              <w:t xml:space="preserve"> in Verbindung mit </w:t>
            </w:r>
            <w:r w:rsidR="00E235CB" w:rsidRPr="005251F3">
              <w:rPr>
                <w:rFonts w:ascii="Arial" w:hAnsi="Arial" w:cs="Arial"/>
                <w:sz w:val="20"/>
                <w:szCs w:val="20"/>
              </w:rPr>
              <w:t xml:space="preserve">den leistungsbildspezifischen Festlegungen unter den Regelungen zu den Honoraren, bei Gebäuden </w:t>
            </w:r>
            <w:r w:rsidR="00C909C1" w:rsidRPr="005251F3">
              <w:rPr>
                <w:rFonts w:ascii="Arial" w:hAnsi="Arial" w:cs="Arial"/>
                <w:sz w:val="20"/>
                <w:szCs w:val="20"/>
              </w:rPr>
              <w:t xml:space="preserve">in Verbindung </w:t>
            </w:r>
            <w:r w:rsidR="00E235CB" w:rsidRPr="005251F3">
              <w:rPr>
                <w:rFonts w:ascii="Arial" w:hAnsi="Arial" w:cs="Arial"/>
                <w:sz w:val="20"/>
                <w:szCs w:val="20"/>
              </w:rPr>
              <w:t xml:space="preserve">mit </w:t>
            </w:r>
            <w:r w:rsidRPr="005251F3">
              <w:rPr>
                <w:rFonts w:ascii="Arial" w:hAnsi="Arial" w:cs="Arial"/>
                <w:sz w:val="20"/>
                <w:szCs w:val="20"/>
              </w:rPr>
              <w:t>§</w:t>
            </w:r>
            <w:r w:rsidR="00FF7E4D" w:rsidRPr="005251F3">
              <w:rPr>
                <w:rFonts w:ascii="Arial" w:hAnsi="Arial" w:cs="Arial"/>
                <w:sz w:val="20"/>
                <w:szCs w:val="20"/>
              </w:rPr>
              <w:t> </w:t>
            </w:r>
            <w:r w:rsidRPr="005251F3">
              <w:rPr>
                <w:rFonts w:ascii="Arial" w:hAnsi="Arial" w:cs="Arial"/>
                <w:sz w:val="20"/>
                <w:szCs w:val="20"/>
              </w:rPr>
              <w:t>36</w:t>
            </w:r>
            <w:r w:rsidR="00936C7E" w:rsidRPr="005251F3">
              <w:rPr>
                <w:rFonts w:ascii="Arial" w:hAnsi="Arial" w:cs="Arial"/>
                <w:sz w:val="20"/>
                <w:szCs w:val="20"/>
              </w:rPr>
              <w:t xml:space="preserve"> </w:t>
            </w:r>
            <w:r w:rsidRPr="005251F3">
              <w:rPr>
                <w:rFonts w:ascii="Arial" w:hAnsi="Arial" w:cs="Arial"/>
                <w:sz w:val="20"/>
                <w:szCs w:val="20"/>
              </w:rPr>
              <w:t>HOAI.</w:t>
            </w:r>
          </w:p>
        </w:tc>
      </w:tr>
      <w:tr w:rsidR="00ED6A89" w:rsidRPr="005251F3" w:rsidTr="00061E91">
        <w:trPr>
          <w:cantSplit/>
        </w:trPr>
        <w:tc>
          <w:tcPr>
            <w:tcW w:w="1668" w:type="dxa"/>
            <w:shd w:val="clear" w:color="auto" w:fill="auto"/>
          </w:tcPr>
          <w:p w:rsidR="00ED6A89" w:rsidRPr="005251F3" w:rsidRDefault="00ED6A89" w:rsidP="00EC6527">
            <w:pPr>
              <w:spacing w:before="80" w:line="276" w:lineRule="auto"/>
              <w:ind w:firstLine="549"/>
              <w:jc w:val="both"/>
              <w:rPr>
                <w:rFonts w:ascii="Arial" w:hAnsi="Arial" w:cs="Arial"/>
                <w:sz w:val="20"/>
                <w:szCs w:val="20"/>
              </w:rPr>
            </w:pPr>
          </w:p>
        </w:tc>
        <w:tc>
          <w:tcPr>
            <w:tcW w:w="7546" w:type="dxa"/>
            <w:gridSpan w:val="3"/>
            <w:shd w:val="clear" w:color="auto" w:fill="auto"/>
          </w:tcPr>
          <w:p w:rsidR="008E527B" w:rsidRPr="005251F3" w:rsidRDefault="008E527B" w:rsidP="00EC6527">
            <w:pPr>
              <w:spacing w:before="80" w:line="276" w:lineRule="auto"/>
              <w:jc w:val="both"/>
              <w:rPr>
                <w:rFonts w:ascii="Arial" w:hAnsi="Arial" w:cs="Arial"/>
                <w:b/>
                <w:sz w:val="20"/>
                <w:szCs w:val="20"/>
              </w:rPr>
            </w:pPr>
          </w:p>
          <w:p w:rsidR="007D0A63" w:rsidRPr="005251F3" w:rsidRDefault="007D0A63" w:rsidP="00EC6527">
            <w:pPr>
              <w:spacing w:before="80" w:line="276" w:lineRule="auto"/>
              <w:jc w:val="both"/>
              <w:rPr>
                <w:rFonts w:ascii="Arial" w:hAnsi="Arial" w:cs="Arial"/>
                <w:b/>
                <w:sz w:val="20"/>
                <w:szCs w:val="20"/>
              </w:rPr>
            </w:pPr>
            <w:r w:rsidRPr="005251F3">
              <w:rPr>
                <w:rFonts w:ascii="Arial" w:hAnsi="Arial" w:cs="Arial"/>
                <w:b/>
                <w:sz w:val="20"/>
                <w:szCs w:val="20"/>
              </w:rPr>
              <w:t>Honorarsatz</w:t>
            </w:r>
          </w:p>
          <w:p w:rsidR="00780869" w:rsidRPr="005251F3" w:rsidRDefault="00780869" w:rsidP="00780869">
            <w:pPr>
              <w:spacing w:before="80" w:line="276" w:lineRule="auto"/>
              <w:jc w:val="both"/>
              <w:rPr>
                <w:rFonts w:ascii="Arial" w:hAnsi="Arial" w:cs="Arial"/>
                <w:sz w:val="20"/>
                <w:szCs w:val="20"/>
              </w:rPr>
            </w:pPr>
            <w:r w:rsidRPr="005251F3">
              <w:rPr>
                <w:rFonts w:ascii="Arial" w:hAnsi="Arial" w:cs="Arial"/>
                <w:sz w:val="20"/>
                <w:szCs w:val="20"/>
              </w:rPr>
              <w:t xml:space="preserve">Wenn an die zu übertragenden Aufgaben, die dem Schwierigkeitsgrad der Honorarzone entsprechenden Mindestanforderungen gestellt werden, ist als Grundlage für die Honorarberechnung der </w:t>
            </w:r>
            <w:r w:rsidR="00814BFF" w:rsidRPr="005251F3">
              <w:rPr>
                <w:rFonts w:ascii="Arial" w:hAnsi="Arial" w:cs="Arial"/>
                <w:sz w:val="20"/>
                <w:szCs w:val="20"/>
              </w:rPr>
              <w:t xml:space="preserve">Basishonorarsatz </w:t>
            </w:r>
            <w:r w:rsidRPr="005251F3">
              <w:rPr>
                <w:rFonts w:ascii="Arial" w:hAnsi="Arial" w:cs="Arial"/>
                <w:sz w:val="20"/>
                <w:szCs w:val="20"/>
              </w:rPr>
              <w:t xml:space="preserve">anzusetzen. </w:t>
            </w:r>
          </w:p>
          <w:p w:rsidR="00ED6A89" w:rsidRPr="005251F3" w:rsidRDefault="00780869">
            <w:pPr>
              <w:spacing w:before="80" w:line="276" w:lineRule="auto"/>
              <w:jc w:val="both"/>
              <w:rPr>
                <w:rFonts w:ascii="Arial" w:hAnsi="Arial" w:cs="Arial"/>
                <w:sz w:val="20"/>
                <w:szCs w:val="20"/>
              </w:rPr>
            </w:pPr>
            <w:r w:rsidRPr="005251F3">
              <w:rPr>
                <w:rFonts w:ascii="Arial" w:hAnsi="Arial" w:cs="Arial"/>
                <w:sz w:val="20"/>
                <w:szCs w:val="20"/>
              </w:rPr>
              <w:t>Ein höherer Honorarsatz kann sich insbesondere</w:t>
            </w:r>
            <w:r w:rsidR="00814BFF" w:rsidRPr="005251F3">
              <w:rPr>
                <w:rFonts w:ascii="Arial" w:hAnsi="Arial" w:cs="Arial"/>
                <w:sz w:val="20"/>
                <w:szCs w:val="20"/>
              </w:rPr>
              <w:t xml:space="preserve"> </w:t>
            </w:r>
            <w:r w:rsidRPr="005251F3">
              <w:rPr>
                <w:rFonts w:ascii="Arial" w:hAnsi="Arial" w:cs="Arial"/>
                <w:sz w:val="20"/>
                <w:szCs w:val="20"/>
              </w:rPr>
              <w:t>aus</w:t>
            </w:r>
            <w:r w:rsidR="00814BFF" w:rsidRPr="005251F3">
              <w:rPr>
                <w:rFonts w:ascii="Arial" w:hAnsi="Arial" w:cs="Arial"/>
                <w:sz w:val="20"/>
                <w:szCs w:val="20"/>
              </w:rPr>
              <w:t xml:space="preserve"> </w:t>
            </w:r>
            <w:r w:rsidRPr="005251F3">
              <w:rPr>
                <w:rFonts w:ascii="Arial" w:hAnsi="Arial" w:cs="Arial"/>
                <w:sz w:val="20"/>
                <w:szCs w:val="20"/>
              </w:rPr>
              <w:t>folgenden</w:t>
            </w:r>
            <w:r w:rsidR="00814BFF" w:rsidRPr="005251F3">
              <w:rPr>
                <w:rFonts w:ascii="Arial" w:hAnsi="Arial" w:cs="Arial"/>
                <w:sz w:val="20"/>
                <w:szCs w:val="20"/>
              </w:rPr>
              <w:t xml:space="preserve"> </w:t>
            </w:r>
            <w:r w:rsidRPr="005251F3">
              <w:rPr>
                <w:rFonts w:ascii="Arial" w:hAnsi="Arial" w:cs="Arial"/>
                <w:sz w:val="20"/>
                <w:szCs w:val="20"/>
              </w:rPr>
              <w:t>Anforderungen rechtfertigen, die den Bearbeitungsaufwand erhöhen und die nicht schon in anderer Weise vergütet werden. Als solche Anforderungen kommen u.a. in Betracht:</w:t>
            </w:r>
          </w:p>
        </w:tc>
      </w:tr>
      <w:tr w:rsidR="00ED6A89" w:rsidRPr="005251F3" w:rsidTr="00061E91">
        <w:trPr>
          <w:cantSplit/>
        </w:trPr>
        <w:tc>
          <w:tcPr>
            <w:tcW w:w="1668" w:type="dxa"/>
            <w:shd w:val="clear" w:color="auto" w:fill="auto"/>
          </w:tcPr>
          <w:p w:rsidR="00ED6A89" w:rsidRPr="005251F3" w:rsidRDefault="00ED6A89" w:rsidP="00EC6527">
            <w:pPr>
              <w:spacing w:before="40" w:line="276" w:lineRule="auto"/>
              <w:jc w:val="both"/>
              <w:rPr>
                <w:rFonts w:ascii="Arial" w:hAnsi="Arial" w:cs="Arial"/>
                <w:b/>
                <w:sz w:val="20"/>
                <w:szCs w:val="20"/>
              </w:rPr>
            </w:pPr>
          </w:p>
        </w:tc>
        <w:tc>
          <w:tcPr>
            <w:tcW w:w="360" w:type="dxa"/>
            <w:gridSpan w:val="2"/>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 xml:space="preserve">Beteiligung und Koordinierung einer Vielzahl von </w:t>
            </w:r>
            <w:r w:rsidR="00A93699" w:rsidRPr="005251F3">
              <w:rPr>
                <w:rFonts w:ascii="Arial" w:hAnsi="Arial" w:cs="Arial"/>
                <w:sz w:val="20"/>
                <w:szCs w:val="20"/>
              </w:rPr>
              <w:t>Planungs- und Verfahrensbeteiligten</w:t>
            </w:r>
            <w:r w:rsidRPr="005251F3">
              <w:rPr>
                <w:rFonts w:ascii="Arial" w:hAnsi="Arial" w:cs="Arial"/>
                <w:sz w:val="20"/>
                <w:szCs w:val="20"/>
              </w:rPr>
              <w:t>,</w:t>
            </w:r>
          </w:p>
        </w:tc>
      </w:tr>
      <w:tr w:rsidR="00ED6A89" w:rsidRPr="005251F3" w:rsidTr="00061E91">
        <w:trPr>
          <w:cantSplit/>
        </w:trPr>
        <w:tc>
          <w:tcPr>
            <w:tcW w:w="1668" w:type="dxa"/>
            <w:shd w:val="clear" w:color="auto" w:fill="auto"/>
          </w:tcPr>
          <w:p w:rsidR="00ED6A89" w:rsidRPr="005251F3" w:rsidRDefault="00ED6A89" w:rsidP="00EC6527">
            <w:pPr>
              <w:spacing w:before="40" w:line="276" w:lineRule="auto"/>
              <w:jc w:val="both"/>
              <w:rPr>
                <w:rFonts w:ascii="Arial" w:hAnsi="Arial" w:cs="Arial"/>
                <w:b/>
                <w:sz w:val="20"/>
                <w:szCs w:val="20"/>
              </w:rPr>
            </w:pPr>
          </w:p>
        </w:tc>
        <w:tc>
          <w:tcPr>
            <w:tcW w:w="360" w:type="dxa"/>
            <w:gridSpan w:val="2"/>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außergewöhnlich kurze Planungs- und Bauzeiten,</w:t>
            </w:r>
          </w:p>
        </w:tc>
      </w:tr>
      <w:tr w:rsidR="00ED6A89" w:rsidRPr="005251F3" w:rsidTr="00061E91">
        <w:trPr>
          <w:cantSplit/>
        </w:trPr>
        <w:tc>
          <w:tcPr>
            <w:tcW w:w="1668" w:type="dxa"/>
            <w:shd w:val="clear" w:color="auto" w:fill="auto"/>
          </w:tcPr>
          <w:p w:rsidR="00ED6A89" w:rsidRPr="005251F3" w:rsidRDefault="00ED6A89" w:rsidP="00EC6527">
            <w:pPr>
              <w:spacing w:before="40" w:line="276" w:lineRule="auto"/>
              <w:jc w:val="both"/>
              <w:rPr>
                <w:rFonts w:ascii="Arial" w:hAnsi="Arial" w:cs="Arial"/>
                <w:b/>
                <w:sz w:val="20"/>
                <w:szCs w:val="20"/>
              </w:rPr>
            </w:pPr>
          </w:p>
        </w:tc>
        <w:tc>
          <w:tcPr>
            <w:tcW w:w="360" w:type="dxa"/>
            <w:gridSpan w:val="2"/>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verbindliche Festtermine und Fristen,</w:t>
            </w:r>
          </w:p>
        </w:tc>
      </w:tr>
      <w:tr w:rsidR="00ED6A89" w:rsidRPr="005251F3" w:rsidTr="00061E91">
        <w:trPr>
          <w:cantSplit/>
        </w:trPr>
        <w:tc>
          <w:tcPr>
            <w:tcW w:w="1668" w:type="dxa"/>
            <w:shd w:val="clear" w:color="auto" w:fill="auto"/>
          </w:tcPr>
          <w:p w:rsidR="00ED6A89" w:rsidRPr="005251F3" w:rsidRDefault="00ED6A89" w:rsidP="00EC6527">
            <w:pPr>
              <w:spacing w:before="40" w:line="276" w:lineRule="auto"/>
              <w:jc w:val="both"/>
              <w:rPr>
                <w:rFonts w:ascii="Arial" w:hAnsi="Arial" w:cs="Arial"/>
                <w:b/>
                <w:sz w:val="20"/>
                <w:szCs w:val="20"/>
              </w:rPr>
            </w:pPr>
          </w:p>
        </w:tc>
        <w:tc>
          <w:tcPr>
            <w:tcW w:w="360" w:type="dxa"/>
            <w:gridSpan w:val="2"/>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Planung und Durchführung bei laufende</w:t>
            </w:r>
            <w:r w:rsidR="00A93699" w:rsidRPr="005251F3">
              <w:rPr>
                <w:rFonts w:ascii="Arial" w:hAnsi="Arial" w:cs="Arial"/>
                <w:sz w:val="20"/>
                <w:szCs w:val="20"/>
              </w:rPr>
              <w:t>m</w:t>
            </w:r>
            <w:r w:rsidRPr="005251F3">
              <w:rPr>
                <w:rFonts w:ascii="Arial" w:hAnsi="Arial" w:cs="Arial"/>
                <w:sz w:val="20"/>
                <w:szCs w:val="20"/>
              </w:rPr>
              <w:t xml:space="preserve"> Betrieb,</w:t>
            </w:r>
          </w:p>
        </w:tc>
      </w:tr>
      <w:tr w:rsidR="00ED6A89" w:rsidRPr="005251F3" w:rsidTr="00061E91">
        <w:trPr>
          <w:cantSplit/>
        </w:trPr>
        <w:tc>
          <w:tcPr>
            <w:tcW w:w="1668" w:type="dxa"/>
            <w:shd w:val="clear" w:color="auto" w:fill="auto"/>
          </w:tcPr>
          <w:p w:rsidR="00ED6A89" w:rsidRPr="005251F3" w:rsidRDefault="00ED6A89" w:rsidP="00EC6527">
            <w:pPr>
              <w:spacing w:before="40" w:line="276" w:lineRule="auto"/>
              <w:jc w:val="both"/>
              <w:rPr>
                <w:rFonts w:ascii="Arial" w:hAnsi="Arial" w:cs="Arial"/>
                <w:b/>
                <w:sz w:val="20"/>
                <w:szCs w:val="20"/>
              </w:rPr>
            </w:pPr>
          </w:p>
        </w:tc>
        <w:tc>
          <w:tcPr>
            <w:tcW w:w="360" w:type="dxa"/>
            <w:gridSpan w:val="2"/>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ED6A89" w:rsidRPr="005251F3" w:rsidRDefault="005A6290" w:rsidP="00EC6527">
            <w:pPr>
              <w:spacing w:before="40" w:line="276" w:lineRule="auto"/>
              <w:jc w:val="both"/>
              <w:rPr>
                <w:rFonts w:ascii="Arial" w:hAnsi="Arial" w:cs="Arial"/>
                <w:sz w:val="20"/>
                <w:szCs w:val="20"/>
              </w:rPr>
            </w:pPr>
            <w:r w:rsidRPr="005251F3">
              <w:rPr>
                <w:rFonts w:ascii="Arial" w:hAnsi="Arial" w:cs="Arial"/>
                <w:sz w:val="20"/>
                <w:szCs w:val="20"/>
              </w:rPr>
              <w:t>bau- und landschaftsgestalterische Beratung</w:t>
            </w:r>
            <w:r w:rsidR="00ED6A89" w:rsidRPr="005251F3">
              <w:rPr>
                <w:rFonts w:ascii="Arial" w:hAnsi="Arial" w:cs="Arial"/>
                <w:sz w:val="20"/>
                <w:szCs w:val="20"/>
              </w:rPr>
              <w:t>,</w:t>
            </w:r>
          </w:p>
        </w:tc>
      </w:tr>
      <w:tr w:rsidR="005A6290" w:rsidRPr="005251F3" w:rsidTr="00061E91">
        <w:trPr>
          <w:cantSplit/>
        </w:trPr>
        <w:tc>
          <w:tcPr>
            <w:tcW w:w="1668" w:type="dxa"/>
            <w:shd w:val="clear" w:color="auto" w:fill="auto"/>
          </w:tcPr>
          <w:p w:rsidR="005A6290" w:rsidRPr="005251F3" w:rsidRDefault="005A6290" w:rsidP="00EC6527">
            <w:pPr>
              <w:spacing w:before="40" w:line="276" w:lineRule="auto"/>
              <w:jc w:val="both"/>
              <w:rPr>
                <w:rFonts w:ascii="Arial" w:hAnsi="Arial" w:cs="Arial"/>
                <w:b/>
                <w:sz w:val="20"/>
                <w:szCs w:val="20"/>
              </w:rPr>
            </w:pPr>
          </w:p>
        </w:tc>
        <w:tc>
          <w:tcPr>
            <w:tcW w:w="360" w:type="dxa"/>
            <w:gridSpan w:val="2"/>
            <w:shd w:val="clear" w:color="auto" w:fill="auto"/>
          </w:tcPr>
          <w:p w:rsidR="005A6290" w:rsidRPr="005251F3" w:rsidRDefault="005A6290"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5A6290" w:rsidRPr="005251F3" w:rsidRDefault="005A6290" w:rsidP="00EC6527">
            <w:pPr>
              <w:spacing w:before="40" w:line="276" w:lineRule="auto"/>
              <w:jc w:val="both"/>
              <w:rPr>
                <w:rFonts w:ascii="Arial" w:hAnsi="Arial" w:cs="Arial"/>
                <w:sz w:val="20"/>
                <w:szCs w:val="20"/>
              </w:rPr>
            </w:pPr>
            <w:r w:rsidRPr="005251F3">
              <w:rPr>
                <w:rFonts w:ascii="Arial" w:hAnsi="Arial" w:cs="Arial"/>
                <w:sz w:val="20"/>
                <w:szCs w:val="20"/>
              </w:rPr>
              <w:t>erhöhte Anforderungen an Planungsoptimierung bzw. an Planungsvarianten</w:t>
            </w:r>
          </w:p>
        </w:tc>
      </w:tr>
      <w:tr w:rsidR="00ED6A89" w:rsidRPr="005251F3" w:rsidTr="00061E91">
        <w:trPr>
          <w:cantSplit/>
        </w:trPr>
        <w:tc>
          <w:tcPr>
            <w:tcW w:w="1668" w:type="dxa"/>
            <w:shd w:val="clear" w:color="auto" w:fill="auto"/>
          </w:tcPr>
          <w:p w:rsidR="00ED6A89" w:rsidRPr="005251F3" w:rsidRDefault="00ED6A89" w:rsidP="00EC6527">
            <w:pPr>
              <w:spacing w:before="40" w:line="276" w:lineRule="auto"/>
              <w:jc w:val="both"/>
              <w:rPr>
                <w:rFonts w:ascii="Arial" w:hAnsi="Arial" w:cs="Arial"/>
                <w:b/>
                <w:sz w:val="20"/>
                <w:szCs w:val="20"/>
              </w:rPr>
            </w:pPr>
          </w:p>
        </w:tc>
        <w:tc>
          <w:tcPr>
            <w:tcW w:w="360" w:type="dxa"/>
            <w:gridSpan w:val="2"/>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ED6A8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Berücksichtigung von Ford</w:t>
            </w:r>
            <w:r w:rsidR="007F44E3" w:rsidRPr="005251F3">
              <w:rPr>
                <w:rFonts w:ascii="Arial" w:hAnsi="Arial" w:cs="Arial"/>
                <w:sz w:val="20"/>
                <w:szCs w:val="20"/>
              </w:rPr>
              <w:t>e</w:t>
            </w:r>
            <w:r w:rsidRPr="005251F3">
              <w:rPr>
                <w:rFonts w:ascii="Arial" w:hAnsi="Arial" w:cs="Arial"/>
                <w:sz w:val="20"/>
                <w:szCs w:val="20"/>
              </w:rPr>
              <w:t xml:space="preserve">rungen des Denkmalschutzes und der Integration erhaltenswerter Bausubstanz, </w:t>
            </w:r>
          </w:p>
        </w:tc>
      </w:tr>
      <w:tr w:rsidR="002250B9" w:rsidRPr="005251F3" w:rsidTr="00061E91">
        <w:trPr>
          <w:cantSplit/>
        </w:trPr>
        <w:tc>
          <w:tcPr>
            <w:tcW w:w="1668" w:type="dxa"/>
            <w:shd w:val="clear" w:color="auto" w:fill="auto"/>
          </w:tcPr>
          <w:p w:rsidR="002250B9" w:rsidRPr="005251F3" w:rsidRDefault="002250B9" w:rsidP="00EC6527">
            <w:pPr>
              <w:spacing w:before="40" w:line="276" w:lineRule="auto"/>
              <w:jc w:val="both"/>
              <w:rPr>
                <w:rFonts w:ascii="Arial" w:hAnsi="Arial" w:cs="Arial"/>
                <w:b/>
                <w:sz w:val="20"/>
                <w:szCs w:val="20"/>
              </w:rPr>
            </w:pPr>
          </w:p>
        </w:tc>
        <w:tc>
          <w:tcPr>
            <w:tcW w:w="360" w:type="dxa"/>
            <w:gridSpan w:val="2"/>
            <w:shd w:val="clear" w:color="auto" w:fill="auto"/>
          </w:tcPr>
          <w:p w:rsidR="002250B9" w:rsidRPr="005251F3" w:rsidRDefault="002250B9"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2250B9" w:rsidRPr="005251F3" w:rsidRDefault="00ED6A89" w:rsidP="00EC6527">
            <w:pPr>
              <w:spacing w:before="40" w:line="276" w:lineRule="auto"/>
              <w:jc w:val="both"/>
              <w:rPr>
                <w:rFonts w:ascii="Arial" w:hAnsi="Arial" w:cs="Arial"/>
                <w:sz w:val="20"/>
                <w:szCs w:val="20"/>
              </w:rPr>
            </w:pPr>
            <w:r w:rsidRPr="005251F3">
              <w:rPr>
                <w:rFonts w:ascii="Arial" w:hAnsi="Arial" w:cs="Arial"/>
                <w:sz w:val="20"/>
                <w:szCs w:val="20"/>
              </w:rPr>
              <w:t>Anwendung neuer Herstellungsverfahren.</w:t>
            </w:r>
          </w:p>
        </w:tc>
      </w:tr>
      <w:tr w:rsidR="0052573C" w:rsidRPr="005251F3" w:rsidTr="00061E91">
        <w:trPr>
          <w:cantSplit/>
        </w:trPr>
        <w:tc>
          <w:tcPr>
            <w:tcW w:w="1668" w:type="dxa"/>
            <w:shd w:val="clear" w:color="auto" w:fill="auto"/>
          </w:tcPr>
          <w:p w:rsidR="0052573C" w:rsidRPr="005251F3" w:rsidRDefault="0052573C"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8E527B" w:rsidRPr="005251F3" w:rsidRDefault="008E527B" w:rsidP="00EC6527">
            <w:pPr>
              <w:spacing w:before="80" w:line="276" w:lineRule="auto"/>
              <w:jc w:val="both"/>
              <w:rPr>
                <w:rFonts w:ascii="Arial" w:hAnsi="Arial" w:cs="Arial"/>
                <w:b/>
                <w:sz w:val="20"/>
                <w:szCs w:val="20"/>
              </w:rPr>
            </w:pPr>
          </w:p>
          <w:p w:rsidR="007D0A63" w:rsidRPr="005251F3" w:rsidRDefault="00E67239" w:rsidP="00EC6527">
            <w:pPr>
              <w:spacing w:before="80" w:line="276" w:lineRule="auto"/>
              <w:jc w:val="both"/>
              <w:rPr>
                <w:rFonts w:ascii="Arial" w:hAnsi="Arial" w:cs="Arial"/>
                <w:b/>
                <w:sz w:val="20"/>
                <w:szCs w:val="20"/>
              </w:rPr>
            </w:pPr>
            <w:r w:rsidRPr="005251F3">
              <w:rPr>
                <w:rFonts w:ascii="Arial" w:hAnsi="Arial" w:cs="Arial"/>
                <w:b/>
                <w:sz w:val="20"/>
                <w:szCs w:val="20"/>
              </w:rPr>
              <w:t>Vom-Hundert-Sätze</w:t>
            </w:r>
          </w:p>
          <w:p w:rsidR="00D375D1" w:rsidRPr="005251F3" w:rsidRDefault="00534D05" w:rsidP="00EC6527">
            <w:pPr>
              <w:spacing w:before="80" w:line="276" w:lineRule="auto"/>
              <w:jc w:val="both"/>
              <w:rPr>
                <w:rFonts w:ascii="Arial" w:hAnsi="Arial" w:cs="Arial"/>
                <w:sz w:val="20"/>
                <w:szCs w:val="20"/>
              </w:rPr>
            </w:pPr>
            <w:r w:rsidRPr="005251F3">
              <w:rPr>
                <w:rFonts w:ascii="Arial" w:hAnsi="Arial" w:cs="Arial"/>
                <w:sz w:val="20"/>
                <w:szCs w:val="20"/>
              </w:rPr>
              <w:t xml:space="preserve">Die genannten Summen der v.H.-Sätze </w:t>
            </w:r>
            <w:r w:rsidR="0092785F" w:rsidRPr="005251F3">
              <w:rPr>
                <w:rFonts w:ascii="Arial" w:hAnsi="Arial" w:cs="Arial"/>
                <w:sz w:val="20"/>
                <w:szCs w:val="20"/>
              </w:rPr>
              <w:t xml:space="preserve">sind Vorschläge zur Orientierung. Die maximalen Summen für die jeweiligen </w:t>
            </w:r>
            <w:r w:rsidR="009502EF" w:rsidRPr="005251F3">
              <w:rPr>
                <w:rFonts w:ascii="Arial" w:hAnsi="Arial" w:cs="Arial"/>
                <w:sz w:val="20"/>
                <w:szCs w:val="20"/>
              </w:rPr>
              <w:t xml:space="preserve">Leistungsphasen </w:t>
            </w:r>
            <w:r w:rsidRPr="005251F3">
              <w:rPr>
                <w:rFonts w:ascii="Arial" w:hAnsi="Arial" w:cs="Arial"/>
                <w:sz w:val="20"/>
                <w:szCs w:val="20"/>
              </w:rPr>
              <w:t>dürfen nicht überschritten werden</w:t>
            </w:r>
            <w:r w:rsidR="0092785F" w:rsidRPr="005251F3">
              <w:rPr>
                <w:rFonts w:ascii="Arial" w:hAnsi="Arial" w:cs="Arial"/>
                <w:sz w:val="20"/>
                <w:szCs w:val="20"/>
              </w:rPr>
              <w:t>.</w:t>
            </w:r>
            <w:r w:rsidRPr="005251F3">
              <w:rPr>
                <w:rFonts w:ascii="Arial" w:hAnsi="Arial" w:cs="Arial"/>
                <w:sz w:val="20"/>
                <w:szCs w:val="20"/>
              </w:rPr>
              <w:t xml:space="preserve"> </w:t>
            </w:r>
            <w:r w:rsidR="00A66B21" w:rsidRPr="005251F3">
              <w:rPr>
                <w:rFonts w:ascii="Arial" w:hAnsi="Arial" w:cs="Arial"/>
                <w:sz w:val="20"/>
                <w:szCs w:val="20"/>
              </w:rPr>
              <w:t>Eine höhere Bewertung kann sich ergeben, wenn im besonderen Ausnahmefall (z.</w:t>
            </w:r>
            <w:r w:rsidR="00E87D1C" w:rsidRPr="005251F3">
              <w:rPr>
                <w:rFonts w:ascii="Arial" w:hAnsi="Arial" w:cs="Arial"/>
                <w:sz w:val="20"/>
                <w:szCs w:val="20"/>
              </w:rPr>
              <w:t xml:space="preserve"> </w:t>
            </w:r>
            <w:r w:rsidR="00A66B21" w:rsidRPr="005251F3">
              <w:rPr>
                <w:rFonts w:ascii="Arial" w:hAnsi="Arial" w:cs="Arial"/>
                <w:sz w:val="20"/>
                <w:szCs w:val="20"/>
              </w:rPr>
              <w:t>B. beim Auslandsbau) Leistungen, die dem öffentlichen Auftraggeber obliegen, an den Auftragnehmer übertragen werden.</w:t>
            </w:r>
          </w:p>
        </w:tc>
      </w:tr>
      <w:tr w:rsidR="002716E6" w:rsidRPr="005251F3" w:rsidTr="00061E91">
        <w:trPr>
          <w:cantSplit/>
        </w:trPr>
        <w:tc>
          <w:tcPr>
            <w:tcW w:w="1668" w:type="dxa"/>
            <w:shd w:val="clear" w:color="auto" w:fill="auto"/>
          </w:tcPr>
          <w:p w:rsidR="002716E6" w:rsidRPr="005251F3" w:rsidRDefault="002716E6"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8E527B" w:rsidRPr="005251F3" w:rsidRDefault="008E527B" w:rsidP="00EC6527">
            <w:pPr>
              <w:spacing w:before="80" w:line="276" w:lineRule="auto"/>
              <w:jc w:val="both"/>
              <w:rPr>
                <w:rFonts w:ascii="Arial" w:hAnsi="Arial" w:cs="Arial"/>
                <w:b/>
                <w:sz w:val="20"/>
                <w:szCs w:val="20"/>
              </w:rPr>
            </w:pPr>
          </w:p>
          <w:p w:rsidR="002716E6" w:rsidRPr="005251F3" w:rsidRDefault="007D0A63" w:rsidP="00EC6527">
            <w:pPr>
              <w:spacing w:before="80" w:line="276" w:lineRule="auto"/>
              <w:jc w:val="both"/>
              <w:rPr>
                <w:rFonts w:ascii="Arial" w:hAnsi="Arial" w:cs="Arial"/>
                <w:b/>
                <w:sz w:val="20"/>
                <w:szCs w:val="20"/>
              </w:rPr>
            </w:pPr>
            <w:r w:rsidRPr="005251F3">
              <w:rPr>
                <w:rFonts w:ascii="Arial" w:hAnsi="Arial" w:cs="Arial"/>
                <w:b/>
                <w:sz w:val="20"/>
                <w:szCs w:val="20"/>
              </w:rPr>
              <w:t>Honorarzuschl</w:t>
            </w:r>
            <w:r w:rsidR="00E67239" w:rsidRPr="005251F3">
              <w:rPr>
                <w:rFonts w:ascii="Arial" w:hAnsi="Arial" w:cs="Arial"/>
                <w:b/>
                <w:sz w:val="20"/>
                <w:szCs w:val="20"/>
              </w:rPr>
              <w:t>ä</w:t>
            </w:r>
            <w:r w:rsidRPr="005251F3">
              <w:rPr>
                <w:rFonts w:ascii="Arial" w:hAnsi="Arial" w:cs="Arial"/>
                <w:b/>
                <w:sz w:val="20"/>
                <w:szCs w:val="20"/>
              </w:rPr>
              <w:t>g</w:t>
            </w:r>
            <w:r w:rsidR="00E67239" w:rsidRPr="005251F3">
              <w:rPr>
                <w:rFonts w:ascii="Arial" w:hAnsi="Arial" w:cs="Arial"/>
                <w:b/>
                <w:sz w:val="20"/>
                <w:szCs w:val="20"/>
              </w:rPr>
              <w:t>e</w:t>
            </w:r>
            <w:r w:rsidRPr="005251F3">
              <w:rPr>
                <w:rFonts w:ascii="Arial" w:hAnsi="Arial" w:cs="Arial"/>
                <w:b/>
                <w:sz w:val="20"/>
                <w:szCs w:val="20"/>
              </w:rPr>
              <w:t xml:space="preserve"> – Bauen im Bestand</w:t>
            </w:r>
          </w:p>
          <w:p w:rsidR="005D4EFE" w:rsidRPr="005251F3" w:rsidRDefault="005D4EFE" w:rsidP="00EC6527">
            <w:pPr>
              <w:spacing w:before="80" w:line="276" w:lineRule="auto"/>
              <w:jc w:val="both"/>
              <w:rPr>
                <w:rFonts w:ascii="Arial" w:hAnsi="Arial" w:cs="Arial"/>
                <w:sz w:val="20"/>
                <w:szCs w:val="20"/>
              </w:rPr>
            </w:pPr>
            <w:r w:rsidRPr="005251F3">
              <w:rPr>
                <w:rFonts w:ascii="Arial" w:hAnsi="Arial" w:cs="Arial"/>
                <w:sz w:val="20"/>
                <w:szCs w:val="20"/>
              </w:rPr>
              <w:t>Für Umbauten und Modernisierungen gilt:</w:t>
            </w:r>
          </w:p>
        </w:tc>
      </w:tr>
      <w:tr w:rsidR="00055426" w:rsidRPr="005251F3" w:rsidTr="00061E91">
        <w:trPr>
          <w:cantSplit/>
        </w:trPr>
        <w:tc>
          <w:tcPr>
            <w:tcW w:w="1668" w:type="dxa"/>
            <w:shd w:val="clear" w:color="auto" w:fill="auto"/>
          </w:tcPr>
          <w:p w:rsidR="00055426" w:rsidRPr="005251F3" w:rsidRDefault="00055426" w:rsidP="00EC6527">
            <w:pPr>
              <w:spacing w:before="80" w:line="276" w:lineRule="auto"/>
              <w:ind w:firstLine="549"/>
              <w:jc w:val="both"/>
              <w:rPr>
                <w:rFonts w:ascii="Arial" w:hAnsi="Arial" w:cs="Arial"/>
                <w:b/>
                <w:sz w:val="20"/>
                <w:szCs w:val="20"/>
              </w:rPr>
            </w:pPr>
          </w:p>
        </w:tc>
        <w:tc>
          <w:tcPr>
            <w:tcW w:w="360" w:type="dxa"/>
            <w:gridSpan w:val="2"/>
            <w:shd w:val="clear" w:color="auto" w:fill="auto"/>
          </w:tcPr>
          <w:p w:rsidR="00055426" w:rsidRPr="005251F3" w:rsidRDefault="00055426"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055426" w:rsidRPr="005251F3" w:rsidRDefault="00055426" w:rsidP="00EC6527">
            <w:pPr>
              <w:spacing w:before="40" w:line="276" w:lineRule="auto"/>
              <w:jc w:val="both"/>
              <w:rPr>
                <w:rFonts w:ascii="Arial" w:hAnsi="Arial" w:cs="Arial"/>
                <w:sz w:val="20"/>
                <w:szCs w:val="20"/>
              </w:rPr>
            </w:pPr>
            <w:r w:rsidRPr="005251F3">
              <w:rPr>
                <w:rFonts w:ascii="Arial" w:hAnsi="Arial" w:cs="Arial"/>
                <w:sz w:val="20"/>
                <w:szCs w:val="20"/>
              </w:rPr>
              <w:t xml:space="preserve">Die Höhe des Zuschlags richtet sich nach dem </w:t>
            </w:r>
            <w:r w:rsidR="00963864" w:rsidRPr="005251F3">
              <w:rPr>
                <w:rFonts w:ascii="Arial" w:hAnsi="Arial" w:cs="Arial"/>
                <w:sz w:val="20"/>
                <w:szCs w:val="20"/>
              </w:rPr>
              <w:t>bei Vertrag</w:t>
            </w:r>
            <w:r w:rsidR="00BB2D38" w:rsidRPr="005251F3">
              <w:rPr>
                <w:rFonts w:ascii="Arial" w:hAnsi="Arial" w:cs="Arial"/>
                <w:sz w:val="20"/>
                <w:szCs w:val="20"/>
              </w:rPr>
              <w:t>s</w:t>
            </w:r>
            <w:r w:rsidR="00963864" w:rsidRPr="005251F3">
              <w:rPr>
                <w:rFonts w:ascii="Arial" w:hAnsi="Arial" w:cs="Arial"/>
                <w:sz w:val="20"/>
                <w:szCs w:val="20"/>
              </w:rPr>
              <w:t xml:space="preserve">abschluss zu erwartenden </w:t>
            </w:r>
            <w:r w:rsidRPr="005251F3">
              <w:rPr>
                <w:rFonts w:ascii="Arial" w:hAnsi="Arial" w:cs="Arial"/>
                <w:sz w:val="20"/>
                <w:szCs w:val="20"/>
              </w:rPr>
              <w:t>Schwierigkeitsgrad.</w:t>
            </w:r>
          </w:p>
        </w:tc>
      </w:tr>
      <w:tr w:rsidR="00055426" w:rsidRPr="005251F3" w:rsidTr="00061E91">
        <w:trPr>
          <w:cantSplit/>
        </w:trPr>
        <w:tc>
          <w:tcPr>
            <w:tcW w:w="1668" w:type="dxa"/>
            <w:shd w:val="clear" w:color="auto" w:fill="auto"/>
          </w:tcPr>
          <w:p w:rsidR="00055426" w:rsidRPr="005251F3" w:rsidRDefault="00055426" w:rsidP="00EC6527">
            <w:pPr>
              <w:spacing w:before="80" w:line="276" w:lineRule="auto"/>
              <w:ind w:firstLine="549"/>
              <w:jc w:val="both"/>
              <w:rPr>
                <w:rFonts w:ascii="Arial" w:hAnsi="Arial" w:cs="Arial"/>
                <w:b/>
                <w:sz w:val="20"/>
                <w:szCs w:val="20"/>
              </w:rPr>
            </w:pPr>
          </w:p>
        </w:tc>
        <w:tc>
          <w:tcPr>
            <w:tcW w:w="360" w:type="dxa"/>
            <w:gridSpan w:val="2"/>
            <w:shd w:val="clear" w:color="auto" w:fill="auto"/>
          </w:tcPr>
          <w:p w:rsidR="00055426" w:rsidRPr="005251F3" w:rsidRDefault="00055426"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055426" w:rsidRPr="005251F3" w:rsidRDefault="00ED11F8">
            <w:pPr>
              <w:spacing w:before="40" w:line="276" w:lineRule="auto"/>
              <w:jc w:val="both"/>
              <w:rPr>
                <w:rFonts w:ascii="Arial" w:hAnsi="Arial" w:cs="Arial"/>
                <w:sz w:val="20"/>
                <w:szCs w:val="20"/>
              </w:rPr>
            </w:pPr>
            <w:r w:rsidRPr="005251F3">
              <w:rPr>
                <w:rFonts w:ascii="Arial" w:hAnsi="Arial" w:cs="Arial"/>
                <w:sz w:val="20"/>
                <w:szCs w:val="20"/>
              </w:rPr>
              <w:t xml:space="preserve">Sofern keine Vereinbarung </w:t>
            </w:r>
            <w:r w:rsidR="00E87D1C" w:rsidRPr="005251F3">
              <w:rPr>
                <w:rFonts w:ascii="Arial" w:hAnsi="Arial" w:cs="Arial"/>
                <w:sz w:val="20"/>
                <w:szCs w:val="20"/>
              </w:rPr>
              <w:t xml:space="preserve">in Textform </w:t>
            </w:r>
            <w:r w:rsidRPr="005251F3">
              <w:rPr>
                <w:rFonts w:ascii="Arial" w:hAnsi="Arial" w:cs="Arial"/>
                <w:sz w:val="20"/>
                <w:szCs w:val="20"/>
              </w:rPr>
              <w:t>getroffen wurde, gilt ab einem durchschnittlichen Schwierig</w:t>
            </w:r>
            <w:r w:rsidR="00B56DE7" w:rsidRPr="005251F3">
              <w:rPr>
                <w:rFonts w:ascii="Arial" w:hAnsi="Arial" w:cs="Arial"/>
                <w:sz w:val="20"/>
                <w:szCs w:val="20"/>
              </w:rPr>
              <w:t>keitsgrad (HZ</w:t>
            </w:r>
            <w:r w:rsidR="00045CD9" w:rsidRPr="005251F3">
              <w:rPr>
                <w:rFonts w:ascii="Arial" w:hAnsi="Arial" w:cs="Arial"/>
                <w:sz w:val="20"/>
                <w:szCs w:val="20"/>
              </w:rPr>
              <w:t xml:space="preserve"> </w:t>
            </w:r>
            <w:r w:rsidR="00AF7F72" w:rsidRPr="005251F3">
              <w:rPr>
                <w:rFonts w:ascii="Arial" w:hAnsi="Arial" w:cs="Arial"/>
                <w:sz w:val="20"/>
                <w:szCs w:val="20"/>
              </w:rPr>
              <w:t xml:space="preserve">II oder </w:t>
            </w:r>
            <w:r w:rsidR="00B56DE7" w:rsidRPr="005251F3">
              <w:rPr>
                <w:rFonts w:ascii="Arial" w:hAnsi="Arial" w:cs="Arial"/>
                <w:sz w:val="20"/>
                <w:szCs w:val="20"/>
              </w:rPr>
              <w:t>III) gemäß</w:t>
            </w:r>
            <w:r w:rsidRPr="005251F3">
              <w:rPr>
                <w:rFonts w:ascii="Arial" w:hAnsi="Arial" w:cs="Arial"/>
                <w:sz w:val="20"/>
                <w:szCs w:val="20"/>
              </w:rPr>
              <w:t xml:space="preserve"> §</w:t>
            </w:r>
            <w:r w:rsidR="00FF7E4D" w:rsidRPr="005251F3">
              <w:rPr>
                <w:rFonts w:ascii="Arial" w:hAnsi="Arial" w:cs="Arial"/>
                <w:sz w:val="20"/>
                <w:szCs w:val="20"/>
              </w:rPr>
              <w:t> </w:t>
            </w:r>
            <w:r w:rsidRPr="005251F3">
              <w:rPr>
                <w:rFonts w:ascii="Arial" w:hAnsi="Arial" w:cs="Arial"/>
                <w:sz w:val="20"/>
                <w:szCs w:val="20"/>
              </w:rPr>
              <w:t>6</w:t>
            </w:r>
            <w:r w:rsidR="00045CD9" w:rsidRPr="005251F3">
              <w:rPr>
                <w:rFonts w:ascii="Arial" w:hAnsi="Arial" w:cs="Arial"/>
                <w:sz w:val="20"/>
                <w:szCs w:val="20"/>
              </w:rPr>
              <w:t xml:space="preserve"> </w:t>
            </w:r>
            <w:r w:rsidRPr="005251F3">
              <w:rPr>
                <w:rFonts w:ascii="Arial" w:hAnsi="Arial" w:cs="Arial"/>
                <w:sz w:val="20"/>
                <w:szCs w:val="20"/>
              </w:rPr>
              <w:t>Absatz</w:t>
            </w:r>
            <w:r w:rsidR="00045CD9" w:rsidRPr="005251F3">
              <w:rPr>
                <w:rFonts w:ascii="Arial" w:hAnsi="Arial" w:cs="Arial"/>
                <w:sz w:val="20"/>
                <w:szCs w:val="20"/>
              </w:rPr>
              <w:t xml:space="preserve"> </w:t>
            </w:r>
            <w:r w:rsidRPr="005251F3">
              <w:rPr>
                <w:rFonts w:ascii="Arial" w:hAnsi="Arial" w:cs="Arial"/>
                <w:sz w:val="20"/>
                <w:szCs w:val="20"/>
              </w:rPr>
              <w:t>2</w:t>
            </w:r>
            <w:r w:rsidR="00045CD9" w:rsidRPr="005251F3">
              <w:rPr>
                <w:rFonts w:ascii="Arial" w:hAnsi="Arial" w:cs="Arial"/>
                <w:sz w:val="20"/>
                <w:szCs w:val="20"/>
              </w:rPr>
              <w:t xml:space="preserve"> </w:t>
            </w:r>
            <w:r w:rsidRPr="005251F3">
              <w:rPr>
                <w:rFonts w:ascii="Arial" w:hAnsi="Arial" w:cs="Arial"/>
                <w:sz w:val="20"/>
                <w:szCs w:val="20"/>
              </w:rPr>
              <w:t>Satz</w:t>
            </w:r>
            <w:r w:rsidR="00045CD9" w:rsidRPr="005251F3">
              <w:rPr>
                <w:rFonts w:ascii="Arial" w:hAnsi="Arial" w:cs="Arial"/>
                <w:sz w:val="20"/>
                <w:szCs w:val="20"/>
              </w:rPr>
              <w:t xml:space="preserve"> </w:t>
            </w:r>
            <w:r w:rsidRPr="005251F3">
              <w:rPr>
                <w:rFonts w:ascii="Arial" w:hAnsi="Arial" w:cs="Arial"/>
                <w:sz w:val="20"/>
                <w:szCs w:val="20"/>
              </w:rPr>
              <w:t>3 HOAI, 20</w:t>
            </w:r>
            <w:r w:rsidR="00045CD9" w:rsidRPr="005251F3">
              <w:rPr>
                <w:rFonts w:ascii="Arial" w:hAnsi="Arial" w:cs="Arial"/>
                <w:sz w:val="20"/>
                <w:szCs w:val="20"/>
              </w:rPr>
              <w:t xml:space="preserve"> </w:t>
            </w:r>
            <w:r w:rsidRPr="005251F3">
              <w:rPr>
                <w:rFonts w:ascii="Arial" w:hAnsi="Arial" w:cs="Arial"/>
                <w:sz w:val="20"/>
                <w:szCs w:val="20"/>
              </w:rPr>
              <w:t>v.H. als vereinbart. Da es sich nicht um einen Mindestumbauzuschlag handelt, kann ein hiervon abweichender Umbauzuschlag vereinbart werden. Die Höhe des möglichen Umbauzuschlags wird in §</w:t>
            </w:r>
            <w:r w:rsidR="00FF7E4D" w:rsidRPr="005251F3">
              <w:rPr>
                <w:rFonts w:ascii="Arial" w:hAnsi="Arial" w:cs="Arial"/>
                <w:sz w:val="20"/>
                <w:szCs w:val="20"/>
              </w:rPr>
              <w:t> </w:t>
            </w:r>
            <w:r w:rsidRPr="005251F3">
              <w:rPr>
                <w:rFonts w:ascii="Arial" w:hAnsi="Arial" w:cs="Arial"/>
                <w:sz w:val="20"/>
                <w:szCs w:val="20"/>
              </w:rPr>
              <w:t xml:space="preserve">36 </w:t>
            </w:r>
            <w:r w:rsidR="00AF7F72" w:rsidRPr="005251F3">
              <w:rPr>
                <w:rFonts w:ascii="Arial" w:hAnsi="Arial" w:cs="Arial"/>
                <w:sz w:val="20"/>
                <w:szCs w:val="20"/>
              </w:rPr>
              <w:t>(Gebäude</w:t>
            </w:r>
            <w:r w:rsidR="00A05D14" w:rsidRPr="005251F3">
              <w:rPr>
                <w:rFonts w:ascii="Arial" w:hAnsi="Arial" w:cs="Arial"/>
                <w:sz w:val="20"/>
                <w:szCs w:val="20"/>
              </w:rPr>
              <w:t>), §</w:t>
            </w:r>
            <w:r w:rsidR="00FF7E4D" w:rsidRPr="005251F3">
              <w:rPr>
                <w:rFonts w:ascii="Arial" w:hAnsi="Arial" w:cs="Arial"/>
                <w:sz w:val="20"/>
                <w:szCs w:val="20"/>
              </w:rPr>
              <w:t> </w:t>
            </w:r>
            <w:r w:rsidR="00A05D14" w:rsidRPr="005251F3">
              <w:rPr>
                <w:rFonts w:ascii="Arial" w:hAnsi="Arial" w:cs="Arial"/>
                <w:sz w:val="20"/>
                <w:szCs w:val="20"/>
              </w:rPr>
              <w:t>40</w:t>
            </w:r>
            <w:r w:rsidR="00045CD9" w:rsidRPr="005251F3">
              <w:rPr>
                <w:rFonts w:ascii="Arial" w:hAnsi="Arial" w:cs="Arial"/>
                <w:sz w:val="20"/>
                <w:szCs w:val="20"/>
              </w:rPr>
              <w:t xml:space="preserve"> </w:t>
            </w:r>
            <w:r w:rsidR="00A05D14" w:rsidRPr="005251F3">
              <w:rPr>
                <w:rFonts w:ascii="Arial" w:hAnsi="Arial" w:cs="Arial"/>
                <w:sz w:val="20"/>
                <w:szCs w:val="20"/>
              </w:rPr>
              <w:t>Absatz</w:t>
            </w:r>
            <w:r w:rsidR="00045CD9" w:rsidRPr="005251F3">
              <w:rPr>
                <w:rFonts w:ascii="Arial" w:hAnsi="Arial" w:cs="Arial"/>
                <w:sz w:val="20"/>
                <w:szCs w:val="20"/>
              </w:rPr>
              <w:t xml:space="preserve"> </w:t>
            </w:r>
            <w:r w:rsidR="00A05D14" w:rsidRPr="005251F3">
              <w:rPr>
                <w:rFonts w:ascii="Arial" w:hAnsi="Arial" w:cs="Arial"/>
                <w:sz w:val="20"/>
                <w:szCs w:val="20"/>
              </w:rPr>
              <w:t>6 (</w:t>
            </w:r>
            <w:r w:rsidR="00AF7F72" w:rsidRPr="005251F3">
              <w:rPr>
                <w:rFonts w:ascii="Arial" w:hAnsi="Arial" w:cs="Arial"/>
                <w:sz w:val="20"/>
                <w:szCs w:val="20"/>
              </w:rPr>
              <w:t>Freianlagen),</w:t>
            </w:r>
            <w:r w:rsidR="0025495A" w:rsidRPr="005251F3">
              <w:rPr>
                <w:rFonts w:ascii="Arial" w:hAnsi="Arial" w:cs="Arial"/>
                <w:sz w:val="20"/>
                <w:szCs w:val="20"/>
              </w:rPr>
              <w:t xml:space="preserve"> </w:t>
            </w:r>
            <w:r w:rsidR="00AF7F72" w:rsidRPr="005251F3">
              <w:rPr>
                <w:rFonts w:ascii="Arial" w:hAnsi="Arial" w:cs="Arial"/>
                <w:sz w:val="20"/>
                <w:szCs w:val="20"/>
              </w:rPr>
              <w:t>§</w:t>
            </w:r>
            <w:r w:rsidR="00FF7E4D" w:rsidRPr="005251F3">
              <w:rPr>
                <w:rFonts w:ascii="Arial" w:hAnsi="Arial" w:cs="Arial"/>
                <w:sz w:val="20"/>
                <w:szCs w:val="20"/>
              </w:rPr>
              <w:t> 44</w:t>
            </w:r>
            <w:r w:rsidR="00045CD9" w:rsidRPr="005251F3">
              <w:rPr>
                <w:rFonts w:ascii="Arial" w:hAnsi="Arial" w:cs="Arial"/>
                <w:sz w:val="20"/>
                <w:szCs w:val="20"/>
              </w:rPr>
              <w:t xml:space="preserve"> </w:t>
            </w:r>
            <w:r w:rsidR="00B5447B" w:rsidRPr="005251F3">
              <w:rPr>
                <w:rFonts w:ascii="Arial" w:hAnsi="Arial" w:cs="Arial"/>
                <w:sz w:val="20"/>
                <w:szCs w:val="20"/>
              </w:rPr>
              <w:t>Absatz</w:t>
            </w:r>
            <w:r w:rsidR="00045CD9" w:rsidRPr="005251F3">
              <w:rPr>
                <w:rFonts w:ascii="Arial" w:hAnsi="Arial" w:cs="Arial"/>
                <w:sz w:val="20"/>
                <w:szCs w:val="20"/>
              </w:rPr>
              <w:t xml:space="preserve"> </w:t>
            </w:r>
            <w:r w:rsidR="00B5447B" w:rsidRPr="005251F3">
              <w:rPr>
                <w:rFonts w:ascii="Arial" w:hAnsi="Arial" w:cs="Arial"/>
                <w:sz w:val="20"/>
                <w:szCs w:val="20"/>
              </w:rPr>
              <w:t xml:space="preserve">6 (Ingenieurbauwerke) </w:t>
            </w:r>
            <w:r w:rsidR="00AF7F72" w:rsidRPr="005251F3">
              <w:rPr>
                <w:rFonts w:ascii="Arial" w:hAnsi="Arial" w:cs="Arial"/>
                <w:sz w:val="20"/>
                <w:szCs w:val="20"/>
              </w:rPr>
              <w:t>sowie §</w:t>
            </w:r>
            <w:r w:rsidR="00FF7E4D" w:rsidRPr="005251F3">
              <w:rPr>
                <w:rFonts w:ascii="Arial" w:hAnsi="Arial" w:cs="Arial"/>
                <w:sz w:val="20"/>
                <w:szCs w:val="20"/>
              </w:rPr>
              <w:t> </w:t>
            </w:r>
            <w:r w:rsidR="00AF7F72" w:rsidRPr="005251F3">
              <w:rPr>
                <w:rFonts w:ascii="Arial" w:hAnsi="Arial" w:cs="Arial"/>
                <w:sz w:val="20"/>
                <w:szCs w:val="20"/>
              </w:rPr>
              <w:t>56</w:t>
            </w:r>
            <w:r w:rsidR="00045CD9" w:rsidRPr="005251F3">
              <w:rPr>
                <w:rFonts w:ascii="Arial" w:hAnsi="Arial" w:cs="Arial"/>
                <w:sz w:val="20"/>
                <w:szCs w:val="20"/>
              </w:rPr>
              <w:t xml:space="preserve"> </w:t>
            </w:r>
            <w:r w:rsidR="00AF7F72" w:rsidRPr="005251F3">
              <w:rPr>
                <w:rFonts w:ascii="Arial" w:hAnsi="Arial" w:cs="Arial"/>
                <w:sz w:val="20"/>
                <w:szCs w:val="20"/>
              </w:rPr>
              <w:t>Absatz</w:t>
            </w:r>
            <w:r w:rsidR="00045CD9" w:rsidRPr="005251F3">
              <w:rPr>
                <w:rFonts w:ascii="Arial" w:hAnsi="Arial" w:cs="Arial"/>
                <w:sz w:val="20"/>
                <w:szCs w:val="20"/>
              </w:rPr>
              <w:t xml:space="preserve"> </w:t>
            </w:r>
            <w:r w:rsidR="00AF7F72" w:rsidRPr="005251F3">
              <w:rPr>
                <w:rFonts w:ascii="Arial" w:hAnsi="Arial" w:cs="Arial"/>
                <w:sz w:val="20"/>
                <w:szCs w:val="20"/>
              </w:rPr>
              <w:t>5 (T</w:t>
            </w:r>
            <w:r w:rsidR="00FF7E4D" w:rsidRPr="005251F3">
              <w:rPr>
                <w:rFonts w:ascii="Arial" w:hAnsi="Arial" w:cs="Arial"/>
                <w:sz w:val="20"/>
                <w:szCs w:val="20"/>
              </w:rPr>
              <w:t>echnische A</w:t>
            </w:r>
            <w:r w:rsidR="00E87D1C" w:rsidRPr="005251F3">
              <w:rPr>
                <w:rFonts w:ascii="Arial" w:hAnsi="Arial" w:cs="Arial"/>
                <w:sz w:val="20"/>
                <w:szCs w:val="20"/>
              </w:rPr>
              <w:t>usrüstung</w:t>
            </w:r>
            <w:r w:rsidR="00FF7E4D" w:rsidRPr="005251F3">
              <w:rPr>
                <w:rFonts w:ascii="Arial" w:hAnsi="Arial" w:cs="Arial"/>
                <w:sz w:val="20"/>
                <w:szCs w:val="20"/>
              </w:rPr>
              <w:t>)</w:t>
            </w:r>
            <w:r w:rsidR="00AF7F72" w:rsidRPr="005251F3">
              <w:rPr>
                <w:rFonts w:ascii="Arial" w:hAnsi="Arial" w:cs="Arial"/>
                <w:sz w:val="20"/>
                <w:szCs w:val="20"/>
              </w:rPr>
              <w:t xml:space="preserve"> </w:t>
            </w:r>
            <w:r w:rsidRPr="005251F3">
              <w:rPr>
                <w:rFonts w:ascii="Arial" w:hAnsi="Arial" w:cs="Arial"/>
                <w:sz w:val="20"/>
                <w:szCs w:val="20"/>
              </w:rPr>
              <w:t>HOAI konkretisiert.</w:t>
            </w:r>
          </w:p>
        </w:tc>
      </w:tr>
      <w:tr w:rsidR="00055426" w:rsidRPr="005251F3" w:rsidTr="00061E91">
        <w:trPr>
          <w:cantSplit/>
        </w:trPr>
        <w:tc>
          <w:tcPr>
            <w:tcW w:w="1668" w:type="dxa"/>
            <w:shd w:val="clear" w:color="auto" w:fill="auto"/>
          </w:tcPr>
          <w:p w:rsidR="00055426" w:rsidRPr="005251F3" w:rsidRDefault="00055426" w:rsidP="00EC6527">
            <w:pPr>
              <w:spacing w:before="80" w:line="276" w:lineRule="auto"/>
              <w:ind w:firstLine="549"/>
              <w:jc w:val="both"/>
              <w:rPr>
                <w:rFonts w:ascii="Arial" w:hAnsi="Arial" w:cs="Arial"/>
                <w:b/>
                <w:sz w:val="20"/>
                <w:szCs w:val="20"/>
              </w:rPr>
            </w:pPr>
          </w:p>
        </w:tc>
        <w:tc>
          <w:tcPr>
            <w:tcW w:w="360" w:type="dxa"/>
            <w:gridSpan w:val="2"/>
            <w:shd w:val="clear" w:color="auto" w:fill="auto"/>
          </w:tcPr>
          <w:p w:rsidR="00055426" w:rsidRPr="005251F3" w:rsidRDefault="00055426" w:rsidP="00EC6527">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055426" w:rsidRPr="005251F3" w:rsidRDefault="00ED11F8">
            <w:pPr>
              <w:spacing w:before="40" w:line="276" w:lineRule="auto"/>
              <w:jc w:val="both"/>
              <w:rPr>
                <w:rFonts w:ascii="Arial" w:hAnsi="Arial" w:cs="Arial"/>
                <w:sz w:val="20"/>
                <w:szCs w:val="20"/>
              </w:rPr>
            </w:pPr>
            <w:r w:rsidRPr="005251F3">
              <w:rPr>
                <w:rFonts w:ascii="Arial" w:hAnsi="Arial" w:cs="Arial"/>
                <w:sz w:val="20"/>
                <w:szCs w:val="20"/>
              </w:rPr>
              <w:t xml:space="preserve">Die </w:t>
            </w:r>
            <w:r w:rsidR="00A70465" w:rsidRPr="005251F3">
              <w:rPr>
                <w:rFonts w:ascii="Arial" w:hAnsi="Arial" w:cs="Arial"/>
                <w:sz w:val="20"/>
                <w:szCs w:val="20"/>
              </w:rPr>
              <w:t>Vereinbarung über die Höhe des Umbauzuschlages</w:t>
            </w:r>
            <w:r w:rsidRPr="005251F3">
              <w:rPr>
                <w:rFonts w:ascii="Arial" w:hAnsi="Arial" w:cs="Arial"/>
                <w:sz w:val="20"/>
                <w:szCs w:val="20"/>
              </w:rPr>
              <w:t xml:space="preserve"> ist zu begründen</w:t>
            </w:r>
            <w:r w:rsidR="00E87D1C" w:rsidRPr="005251F3">
              <w:rPr>
                <w:rFonts w:ascii="Arial" w:hAnsi="Arial" w:cs="Arial"/>
                <w:sz w:val="20"/>
                <w:szCs w:val="20"/>
              </w:rPr>
              <w:t xml:space="preserve"> und zu dokumentieren.</w:t>
            </w:r>
          </w:p>
        </w:tc>
      </w:tr>
      <w:tr w:rsidR="00ED11F8" w:rsidRPr="005251F3" w:rsidTr="00061E91">
        <w:trPr>
          <w:cantSplit/>
        </w:trPr>
        <w:tc>
          <w:tcPr>
            <w:tcW w:w="1668" w:type="dxa"/>
            <w:shd w:val="clear" w:color="auto" w:fill="auto"/>
          </w:tcPr>
          <w:p w:rsidR="00ED11F8" w:rsidRPr="005251F3" w:rsidRDefault="00ED11F8" w:rsidP="00EC6527">
            <w:pPr>
              <w:spacing w:before="80" w:line="276" w:lineRule="auto"/>
              <w:ind w:firstLine="549"/>
              <w:jc w:val="both"/>
              <w:rPr>
                <w:rFonts w:ascii="Arial" w:hAnsi="Arial" w:cs="Arial"/>
                <w:b/>
                <w:sz w:val="20"/>
                <w:szCs w:val="20"/>
              </w:rPr>
            </w:pPr>
          </w:p>
        </w:tc>
        <w:tc>
          <w:tcPr>
            <w:tcW w:w="360" w:type="dxa"/>
            <w:gridSpan w:val="2"/>
            <w:shd w:val="clear" w:color="auto" w:fill="auto"/>
          </w:tcPr>
          <w:p w:rsidR="00ED11F8" w:rsidRPr="005251F3" w:rsidRDefault="00ED11F8" w:rsidP="00EC6527">
            <w:pPr>
              <w:spacing w:before="40" w:line="276" w:lineRule="auto"/>
              <w:jc w:val="both"/>
              <w:rPr>
                <w:rFonts w:ascii="Arial" w:hAnsi="Arial" w:cs="Arial"/>
                <w:sz w:val="20"/>
                <w:szCs w:val="20"/>
              </w:rPr>
            </w:pPr>
          </w:p>
        </w:tc>
        <w:tc>
          <w:tcPr>
            <w:tcW w:w="7186" w:type="dxa"/>
            <w:shd w:val="clear" w:color="auto" w:fill="auto"/>
          </w:tcPr>
          <w:p w:rsidR="00ED11F8" w:rsidRPr="005251F3" w:rsidRDefault="00ED11F8">
            <w:pPr>
              <w:spacing w:before="40" w:line="276" w:lineRule="auto"/>
              <w:jc w:val="both"/>
              <w:rPr>
                <w:rFonts w:ascii="Arial" w:hAnsi="Arial" w:cs="Arial"/>
                <w:sz w:val="20"/>
                <w:szCs w:val="20"/>
              </w:rPr>
            </w:pPr>
            <w:r w:rsidRPr="005251F3">
              <w:rPr>
                <w:rFonts w:ascii="Arial" w:hAnsi="Arial" w:cs="Arial"/>
                <w:sz w:val="20"/>
                <w:szCs w:val="20"/>
              </w:rPr>
              <w:t>Bei überdurchschnittlichem Schwierigkeitsgrad gilt der Hinweis zu</w:t>
            </w:r>
            <w:r w:rsidR="0098199B" w:rsidRPr="005251F3">
              <w:rPr>
                <w:rFonts w:ascii="Arial" w:hAnsi="Arial" w:cs="Arial"/>
                <w:sz w:val="20"/>
                <w:szCs w:val="20"/>
              </w:rPr>
              <w:t>m Honorarsatz</w:t>
            </w:r>
            <w:r w:rsidRPr="005251F3">
              <w:rPr>
                <w:rFonts w:ascii="Arial" w:hAnsi="Arial" w:cs="Arial"/>
                <w:sz w:val="20"/>
                <w:szCs w:val="20"/>
              </w:rPr>
              <w:t xml:space="preserve">. </w:t>
            </w:r>
          </w:p>
        </w:tc>
      </w:tr>
      <w:tr w:rsidR="00FF7E4D" w:rsidRPr="005251F3" w:rsidTr="00061E91">
        <w:trPr>
          <w:cantSplit/>
        </w:trPr>
        <w:tc>
          <w:tcPr>
            <w:tcW w:w="1668" w:type="dxa"/>
            <w:shd w:val="clear" w:color="auto" w:fill="auto"/>
          </w:tcPr>
          <w:p w:rsidR="00FF7E4D" w:rsidRPr="005251F3" w:rsidRDefault="00FF7E4D"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8E527B" w:rsidRPr="005251F3" w:rsidRDefault="008E527B" w:rsidP="00FF7E4D">
            <w:pPr>
              <w:spacing w:before="80" w:line="276" w:lineRule="auto"/>
              <w:jc w:val="both"/>
              <w:rPr>
                <w:rFonts w:ascii="Arial" w:hAnsi="Arial" w:cs="Arial"/>
                <w:b/>
                <w:sz w:val="20"/>
                <w:szCs w:val="20"/>
              </w:rPr>
            </w:pPr>
          </w:p>
          <w:p w:rsidR="00FF7E4D" w:rsidRPr="005251F3" w:rsidRDefault="00FF7E4D" w:rsidP="00FF7E4D">
            <w:pPr>
              <w:spacing w:before="80" w:line="276" w:lineRule="auto"/>
              <w:jc w:val="both"/>
              <w:rPr>
                <w:rFonts w:ascii="Arial" w:hAnsi="Arial" w:cs="Arial"/>
                <w:b/>
                <w:sz w:val="20"/>
                <w:szCs w:val="20"/>
              </w:rPr>
            </w:pPr>
            <w:r w:rsidRPr="005251F3">
              <w:rPr>
                <w:rFonts w:ascii="Arial" w:hAnsi="Arial" w:cs="Arial"/>
                <w:b/>
                <w:sz w:val="20"/>
                <w:szCs w:val="20"/>
              </w:rPr>
              <w:t>Mehrere Objekte gemäß § 11</w:t>
            </w:r>
            <w:r w:rsidR="00045CD9" w:rsidRPr="005251F3">
              <w:rPr>
                <w:rFonts w:ascii="Arial" w:hAnsi="Arial" w:cs="Arial"/>
                <w:b/>
                <w:sz w:val="20"/>
                <w:szCs w:val="20"/>
              </w:rPr>
              <w:t xml:space="preserve"> </w:t>
            </w:r>
            <w:r w:rsidRPr="005251F3">
              <w:rPr>
                <w:rFonts w:ascii="Arial" w:hAnsi="Arial" w:cs="Arial"/>
                <w:b/>
                <w:sz w:val="20"/>
                <w:szCs w:val="20"/>
              </w:rPr>
              <w:t>Absätze</w:t>
            </w:r>
            <w:r w:rsidR="00045CD9" w:rsidRPr="005251F3">
              <w:rPr>
                <w:rFonts w:ascii="Arial" w:hAnsi="Arial" w:cs="Arial"/>
                <w:b/>
                <w:sz w:val="20"/>
                <w:szCs w:val="20"/>
              </w:rPr>
              <w:t xml:space="preserve"> </w:t>
            </w:r>
            <w:r w:rsidRPr="005251F3">
              <w:rPr>
                <w:rFonts w:ascii="Arial" w:hAnsi="Arial" w:cs="Arial"/>
                <w:b/>
                <w:sz w:val="20"/>
                <w:szCs w:val="20"/>
              </w:rPr>
              <w:t>3 bis 4 HOAI (Wiederholungsbauten)</w:t>
            </w:r>
          </w:p>
          <w:p w:rsidR="005D4EFE" w:rsidRPr="005251F3" w:rsidRDefault="005D4EFE" w:rsidP="00363A02">
            <w:pPr>
              <w:spacing w:before="80" w:line="276" w:lineRule="auto"/>
              <w:jc w:val="both"/>
              <w:rPr>
                <w:rFonts w:ascii="Arial" w:hAnsi="Arial" w:cs="Arial"/>
                <w:b/>
                <w:sz w:val="20"/>
                <w:szCs w:val="20"/>
              </w:rPr>
            </w:pPr>
            <w:r w:rsidRPr="005251F3">
              <w:rPr>
                <w:rFonts w:ascii="Arial" w:hAnsi="Arial" w:cs="Arial"/>
                <w:sz w:val="20"/>
                <w:szCs w:val="20"/>
              </w:rPr>
              <w:t>Umfasst ein Auftrag mehrere im Wesentlichen gleiche Gebäude, Ingenieurbauwerke oder Verkehrsanlagen, die im zeitlichen oder örtlichen Zusammenhang unter gleichen baulichen Verhältnissen geplant und errichtet werden sollen, oder mehrere Objekte nach Typenplanung oder Serienbauten, wird gemäß § 11</w:t>
            </w:r>
            <w:r w:rsidR="00363A02" w:rsidRPr="005251F3">
              <w:rPr>
                <w:rFonts w:ascii="Arial" w:hAnsi="Arial" w:cs="Arial"/>
                <w:sz w:val="20"/>
                <w:szCs w:val="20"/>
              </w:rPr>
              <w:t xml:space="preserve"> </w:t>
            </w:r>
            <w:r w:rsidRPr="005251F3">
              <w:rPr>
                <w:rFonts w:ascii="Arial" w:hAnsi="Arial" w:cs="Arial"/>
                <w:sz w:val="20"/>
                <w:szCs w:val="20"/>
              </w:rPr>
              <w:t>Absatz</w:t>
            </w:r>
            <w:r w:rsidR="00363A02" w:rsidRPr="005251F3">
              <w:rPr>
                <w:rFonts w:ascii="Arial" w:hAnsi="Arial" w:cs="Arial"/>
                <w:sz w:val="20"/>
                <w:szCs w:val="20"/>
              </w:rPr>
              <w:t xml:space="preserve"> </w:t>
            </w:r>
            <w:r w:rsidRPr="005251F3">
              <w:rPr>
                <w:rFonts w:ascii="Arial" w:hAnsi="Arial" w:cs="Arial"/>
                <w:sz w:val="20"/>
                <w:szCs w:val="20"/>
              </w:rPr>
              <w:t>3</w:t>
            </w:r>
            <w:r w:rsidR="00363A02" w:rsidRPr="005251F3">
              <w:rPr>
                <w:rFonts w:ascii="Arial" w:hAnsi="Arial" w:cs="Arial"/>
                <w:sz w:val="20"/>
                <w:szCs w:val="20"/>
              </w:rPr>
              <w:t xml:space="preserve"> </w:t>
            </w:r>
            <w:r w:rsidRPr="005251F3">
              <w:rPr>
                <w:rFonts w:ascii="Arial" w:hAnsi="Arial" w:cs="Arial"/>
                <w:sz w:val="20"/>
                <w:szCs w:val="20"/>
              </w:rPr>
              <w:t>HOAI eine Vereinbarung getroffen.</w:t>
            </w:r>
          </w:p>
        </w:tc>
      </w:tr>
      <w:tr w:rsidR="00FF7E4D" w:rsidRPr="005251F3" w:rsidTr="00061E91">
        <w:trPr>
          <w:cantSplit/>
        </w:trPr>
        <w:tc>
          <w:tcPr>
            <w:tcW w:w="1668" w:type="dxa"/>
            <w:shd w:val="clear" w:color="auto" w:fill="auto"/>
          </w:tcPr>
          <w:p w:rsidR="00FF7E4D" w:rsidRPr="005251F3" w:rsidRDefault="00FF7E4D"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FF7E4D" w:rsidRPr="005251F3" w:rsidRDefault="00FF7E4D" w:rsidP="00803B34">
            <w:pPr>
              <w:spacing w:before="80" w:line="276" w:lineRule="auto"/>
              <w:jc w:val="both"/>
              <w:rPr>
                <w:rFonts w:ascii="Arial" w:hAnsi="Arial" w:cs="Arial"/>
                <w:sz w:val="20"/>
                <w:szCs w:val="20"/>
              </w:rPr>
            </w:pPr>
            <w:r w:rsidRPr="005251F3">
              <w:rPr>
                <w:rFonts w:ascii="Arial" w:hAnsi="Arial" w:cs="Arial"/>
                <w:sz w:val="20"/>
                <w:szCs w:val="20"/>
              </w:rPr>
              <w:t>Umfasst ein Auftrag im Wesentlichen gleiche Anlagen der Technischen Ausrüstung, die unter weitgehend vergleichbaren Bedingungen für im Wesentlichen gleiche Objekte geplant werden, findet § 11</w:t>
            </w:r>
            <w:r w:rsidR="00363A02" w:rsidRPr="005251F3">
              <w:rPr>
                <w:rFonts w:ascii="Arial" w:hAnsi="Arial" w:cs="Arial"/>
                <w:sz w:val="20"/>
                <w:szCs w:val="20"/>
              </w:rPr>
              <w:t xml:space="preserve"> </w:t>
            </w:r>
            <w:r w:rsidRPr="005251F3">
              <w:rPr>
                <w:rFonts w:ascii="Arial" w:hAnsi="Arial" w:cs="Arial"/>
                <w:sz w:val="20"/>
                <w:szCs w:val="20"/>
              </w:rPr>
              <w:t>Absatz</w:t>
            </w:r>
            <w:r w:rsidR="00363A02" w:rsidRPr="005251F3">
              <w:rPr>
                <w:rFonts w:ascii="Arial" w:hAnsi="Arial" w:cs="Arial"/>
                <w:sz w:val="20"/>
                <w:szCs w:val="20"/>
              </w:rPr>
              <w:t xml:space="preserve"> </w:t>
            </w:r>
            <w:r w:rsidRPr="005251F3">
              <w:rPr>
                <w:rFonts w:ascii="Arial" w:hAnsi="Arial" w:cs="Arial"/>
                <w:sz w:val="20"/>
                <w:szCs w:val="20"/>
              </w:rPr>
              <w:t>3 aufgrund §</w:t>
            </w:r>
            <w:r w:rsidR="00363A02" w:rsidRPr="005251F3">
              <w:rPr>
                <w:rFonts w:ascii="Arial" w:hAnsi="Arial" w:cs="Arial"/>
                <w:sz w:val="20"/>
                <w:szCs w:val="20"/>
              </w:rPr>
              <w:t xml:space="preserve"> 54 </w:t>
            </w:r>
            <w:r w:rsidRPr="005251F3">
              <w:rPr>
                <w:rFonts w:ascii="Arial" w:hAnsi="Arial" w:cs="Arial"/>
                <w:sz w:val="20"/>
                <w:szCs w:val="20"/>
              </w:rPr>
              <w:t>Absatz</w:t>
            </w:r>
            <w:r w:rsidR="00363A02" w:rsidRPr="005251F3">
              <w:rPr>
                <w:rFonts w:ascii="Arial" w:hAnsi="Arial" w:cs="Arial"/>
                <w:sz w:val="20"/>
                <w:szCs w:val="20"/>
              </w:rPr>
              <w:t xml:space="preserve"> </w:t>
            </w:r>
            <w:r w:rsidRPr="005251F3">
              <w:rPr>
                <w:rFonts w:ascii="Arial" w:hAnsi="Arial" w:cs="Arial"/>
                <w:sz w:val="20"/>
                <w:szCs w:val="20"/>
              </w:rPr>
              <w:t>3</w:t>
            </w:r>
            <w:r w:rsidR="00363A02" w:rsidRPr="005251F3">
              <w:rPr>
                <w:rFonts w:ascii="Arial" w:hAnsi="Arial" w:cs="Arial"/>
                <w:sz w:val="20"/>
                <w:szCs w:val="20"/>
              </w:rPr>
              <w:t xml:space="preserve"> </w:t>
            </w:r>
            <w:r w:rsidRPr="005251F3">
              <w:rPr>
                <w:rFonts w:ascii="Arial" w:hAnsi="Arial" w:cs="Arial"/>
                <w:sz w:val="20"/>
                <w:szCs w:val="20"/>
              </w:rPr>
              <w:t>HOAI ebenfalls Anwendung</w:t>
            </w:r>
            <w:r w:rsidR="00803B34" w:rsidRPr="005251F3">
              <w:rPr>
                <w:rFonts w:ascii="Arial" w:hAnsi="Arial" w:cs="Arial"/>
                <w:sz w:val="20"/>
                <w:szCs w:val="20"/>
              </w:rPr>
              <w:t>.</w:t>
            </w:r>
          </w:p>
        </w:tc>
      </w:tr>
      <w:tr w:rsidR="00E1094D" w:rsidRPr="005251F3" w:rsidTr="00061E91">
        <w:trPr>
          <w:cantSplit/>
        </w:trPr>
        <w:tc>
          <w:tcPr>
            <w:tcW w:w="1668" w:type="dxa"/>
            <w:shd w:val="clear" w:color="auto" w:fill="auto"/>
          </w:tcPr>
          <w:p w:rsidR="00E1094D" w:rsidRPr="005251F3" w:rsidRDefault="00E1094D"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E1094D" w:rsidRPr="005251F3" w:rsidRDefault="00E1094D" w:rsidP="00803B34">
            <w:pPr>
              <w:spacing w:before="80" w:line="276" w:lineRule="auto"/>
              <w:jc w:val="both"/>
              <w:rPr>
                <w:rFonts w:ascii="Arial" w:hAnsi="Arial" w:cs="Arial"/>
                <w:sz w:val="20"/>
                <w:szCs w:val="20"/>
              </w:rPr>
            </w:pPr>
            <w:r w:rsidRPr="005251F3">
              <w:rPr>
                <w:rFonts w:ascii="Arial" w:hAnsi="Arial" w:cs="Arial"/>
                <w:sz w:val="20"/>
                <w:szCs w:val="20"/>
              </w:rPr>
              <w:t>Das Honorar kann wie folgt vereinbart werden:</w:t>
            </w:r>
          </w:p>
        </w:tc>
      </w:tr>
      <w:tr w:rsidR="00E1094D" w:rsidRPr="005251F3" w:rsidTr="00061E91">
        <w:trPr>
          <w:cantSplit/>
        </w:trPr>
        <w:tc>
          <w:tcPr>
            <w:tcW w:w="1668" w:type="dxa"/>
            <w:shd w:val="clear" w:color="auto" w:fill="auto"/>
          </w:tcPr>
          <w:p w:rsidR="00E1094D" w:rsidRPr="005251F3" w:rsidRDefault="00E1094D"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E1094D" w:rsidRPr="005251F3" w:rsidRDefault="00E1094D" w:rsidP="00803B34">
            <w:pPr>
              <w:spacing w:before="80" w:line="276" w:lineRule="auto"/>
              <w:jc w:val="both"/>
              <w:rPr>
                <w:rFonts w:ascii="Arial" w:hAnsi="Arial" w:cs="Arial"/>
                <w:sz w:val="20"/>
                <w:szCs w:val="20"/>
              </w:rPr>
            </w:pPr>
            <w:r w:rsidRPr="005251F3">
              <w:rPr>
                <w:rFonts w:ascii="Arial" w:hAnsi="Arial" w:cs="Arial"/>
                <w:sz w:val="20"/>
                <w:szCs w:val="20"/>
              </w:rPr>
              <w:t>Für die 1.- 4. Wiederholung: Minderung der Ansätze gemäß § 10 Nummer 10.4, um 50 v.H. des Honorars</w:t>
            </w:r>
          </w:p>
        </w:tc>
      </w:tr>
      <w:tr w:rsidR="00803B34" w:rsidRPr="005251F3" w:rsidTr="00061E91">
        <w:trPr>
          <w:cantSplit/>
        </w:trPr>
        <w:tc>
          <w:tcPr>
            <w:tcW w:w="1668" w:type="dxa"/>
            <w:shd w:val="clear" w:color="auto" w:fill="auto"/>
          </w:tcPr>
          <w:p w:rsidR="00803B34" w:rsidRPr="005251F3" w:rsidRDefault="00803B34"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4A6479" w:rsidRPr="005251F3" w:rsidRDefault="00C1396E">
            <w:pPr>
              <w:spacing w:before="80" w:line="276" w:lineRule="auto"/>
              <w:jc w:val="both"/>
              <w:rPr>
                <w:rFonts w:ascii="Arial" w:hAnsi="Arial" w:cs="Arial"/>
                <w:sz w:val="20"/>
                <w:szCs w:val="20"/>
              </w:rPr>
            </w:pPr>
            <w:r w:rsidRPr="005251F3">
              <w:rPr>
                <w:rFonts w:ascii="Arial" w:hAnsi="Arial" w:cs="Arial"/>
                <w:sz w:val="20"/>
                <w:szCs w:val="20"/>
              </w:rPr>
              <w:t>F</w:t>
            </w:r>
            <w:r w:rsidR="00803B34" w:rsidRPr="005251F3">
              <w:rPr>
                <w:rFonts w:ascii="Arial" w:hAnsi="Arial" w:cs="Arial"/>
                <w:sz w:val="20"/>
                <w:szCs w:val="20"/>
              </w:rPr>
              <w:t>ür die 5.- 7. Wiederholung</w:t>
            </w:r>
            <w:r w:rsidRPr="005251F3">
              <w:rPr>
                <w:rFonts w:ascii="Arial" w:hAnsi="Arial" w:cs="Arial"/>
                <w:sz w:val="20"/>
                <w:szCs w:val="20"/>
              </w:rPr>
              <w:t xml:space="preserve">: </w:t>
            </w:r>
            <w:r w:rsidR="00803B34" w:rsidRPr="005251F3">
              <w:rPr>
                <w:rFonts w:ascii="Arial" w:hAnsi="Arial" w:cs="Arial"/>
                <w:sz w:val="20"/>
                <w:szCs w:val="20"/>
              </w:rPr>
              <w:t>Minderung der Ansätze gemäß § 10 Nummer 10.4, um 60 v.H. des Honorars</w:t>
            </w:r>
          </w:p>
        </w:tc>
      </w:tr>
      <w:tr w:rsidR="00FF7E4D" w:rsidRPr="005251F3" w:rsidTr="00061E91">
        <w:trPr>
          <w:cantSplit/>
        </w:trPr>
        <w:tc>
          <w:tcPr>
            <w:tcW w:w="1668" w:type="dxa"/>
            <w:shd w:val="clear" w:color="auto" w:fill="auto"/>
          </w:tcPr>
          <w:p w:rsidR="00FF7E4D" w:rsidRPr="005251F3" w:rsidRDefault="00FF7E4D"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FF7E4D" w:rsidRPr="005251F3" w:rsidRDefault="00C1396E">
            <w:pPr>
              <w:spacing w:before="80" w:line="276" w:lineRule="auto"/>
              <w:jc w:val="both"/>
              <w:rPr>
                <w:rFonts w:ascii="Arial" w:hAnsi="Arial" w:cs="Arial"/>
                <w:sz w:val="20"/>
                <w:szCs w:val="20"/>
              </w:rPr>
            </w:pPr>
            <w:r w:rsidRPr="005251F3">
              <w:rPr>
                <w:rFonts w:ascii="Arial" w:hAnsi="Arial" w:cs="Arial"/>
                <w:sz w:val="20"/>
                <w:szCs w:val="20"/>
              </w:rPr>
              <w:t>A</w:t>
            </w:r>
            <w:r w:rsidR="00FF7E4D" w:rsidRPr="005251F3">
              <w:rPr>
                <w:rFonts w:ascii="Arial" w:hAnsi="Arial" w:cs="Arial"/>
                <w:sz w:val="20"/>
                <w:szCs w:val="20"/>
              </w:rPr>
              <w:t>b der 8. Wiederholung</w:t>
            </w:r>
            <w:r w:rsidRPr="005251F3">
              <w:rPr>
                <w:rFonts w:ascii="Arial" w:hAnsi="Arial" w:cs="Arial"/>
                <w:sz w:val="20"/>
                <w:szCs w:val="20"/>
              </w:rPr>
              <w:t xml:space="preserve">: </w:t>
            </w:r>
            <w:r w:rsidR="00FF7E4D" w:rsidRPr="005251F3">
              <w:rPr>
                <w:rFonts w:ascii="Arial" w:hAnsi="Arial" w:cs="Arial"/>
                <w:sz w:val="20"/>
                <w:szCs w:val="20"/>
              </w:rPr>
              <w:t>Minderung der Ansätze gemäß §</w:t>
            </w:r>
            <w:r w:rsidR="00363A02" w:rsidRPr="005251F3">
              <w:rPr>
                <w:rFonts w:ascii="Arial" w:hAnsi="Arial" w:cs="Arial"/>
                <w:sz w:val="20"/>
                <w:szCs w:val="20"/>
              </w:rPr>
              <w:t xml:space="preserve"> 10 </w:t>
            </w:r>
            <w:r w:rsidR="00FF7E4D" w:rsidRPr="005251F3">
              <w:rPr>
                <w:rFonts w:ascii="Arial" w:hAnsi="Arial" w:cs="Arial"/>
                <w:sz w:val="20"/>
                <w:szCs w:val="20"/>
              </w:rPr>
              <w:t>Nummer</w:t>
            </w:r>
            <w:r w:rsidR="00363A02" w:rsidRPr="005251F3">
              <w:rPr>
                <w:rFonts w:ascii="Arial" w:hAnsi="Arial" w:cs="Arial"/>
                <w:sz w:val="20"/>
                <w:szCs w:val="20"/>
              </w:rPr>
              <w:t xml:space="preserve"> </w:t>
            </w:r>
            <w:r w:rsidR="00FF7E4D" w:rsidRPr="005251F3">
              <w:rPr>
                <w:rFonts w:ascii="Arial" w:hAnsi="Arial" w:cs="Arial"/>
                <w:sz w:val="20"/>
                <w:szCs w:val="20"/>
              </w:rPr>
              <w:t>10.4, um 90 v.H. des Honorars.</w:t>
            </w:r>
          </w:p>
        </w:tc>
      </w:tr>
      <w:tr w:rsidR="00A06F74" w:rsidRPr="005251F3" w:rsidTr="00061E91">
        <w:trPr>
          <w:cantSplit/>
        </w:trPr>
        <w:tc>
          <w:tcPr>
            <w:tcW w:w="1668" w:type="dxa"/>
            <w:shd w:val="clear" w:color="auto" w:fill="auto"/>
          </w:tcPr>
          <w:p w:rsidR="00A06F74" w:rsidRPr="005251F3" w:rsidRDefault="00A06F74"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A06F74" w:rsidRPr="005251F3" w:rsidRDefault="00ED11F8" w:rsidP="00647224">
            <w:pPr>
              <w:spacing w:before="80" w:line="276" w:lineRule="auto"/>
              <w:jc w:val="both"/>
              <w:rPr>
                <w:rFonts w:ascii="Arial" w:hAnsi="Arial" w:cs="Arial"/>
                <w:sz w:val="20"/>
                <w:szCs w:val="20"/>
              </w:rPr>
            </w:pPr>
            <w:r w:rsidRPr="005251F3">
              <w:rPr>
                <w:rFonts w:ascii="Arial" w:hAnsi="Arial" w:cs="Arial"/>
                <w:sz w:val="20"/>
                <w:szCs w:val="20"/>
              </w:rPr>
              <w:t>Umfasst ein Auftrag Grundleistungen, die bereits Gegenstand eines anderen Auftrags über ein gleiches Gebäude</w:t>
            </w:r>
            <w:r w:rsidR="00900359" w:rsidRPr="005251F3">
              <w:rPr>
                <w:rFonts w:ascii="Arial" w:hAnsi="Arial" w:cs="Arial"/>
                <w:sz w:val="20"/>
                <w:szCs w:val="20"/>
              </w:rPr>
              <w:t>, Ingenieurbauwerk oder Tragwerk</w:t>
            </w:r>
            <w:r w:rsidRPr="005251F3">
              <w:rPr>
                <w:rFonts w:ascii="Arial" w:hAnsi="Arial" w:cs="Arial"/>
                <w:sz w:val="20"/>
                <w:szCs w:val="20"/>
              </w:rPr>
              <w:t xml:space="preserve"> zwischen den Vertragsparteien waren, so werden die v.H.-Sätze der beauftragten Leistungsphasen auch dann gem</w:t>
            </w:r>
            <w:r w:rsidR="00846B9E" w:rsidRPr="005251F3">
              <w:rPr>
                <w:rFonts w:ascii="Arial" w:hAnsi="Arial" w:cs="Arial"/>
                <w:sz w:val="20"/>
                <w:szCs w:val="20"/>
              </w:rPr>
              <w:t>äß</w:t>
            </w:r>
            <w:r w:rsidRPr="005251F3">
              <w:rPr>
                <w:rFonts w:ascii="Arial" w:hAnsi="Arial" w:cs="Arial"/>
                <w:sz w:val="20"/>
                <w:szCs w:val="20"/>
              </w:rPr>
              <w:t xml:space="preserve"> §</w:t>
            </w:r>
            <w:r w:rsidR="005D4EFE" w:rsidRPr="005251F3">
              <w:rPr>
                <w:rFonts w:ascii="Arial" w:hAnsi="Arial" w:cs="Arial"/>
                <w:sz w:val="20"/>
                <w:szCs w:val="20"/>
              </w:rPr>
              <w:t> </w:t>
            </w:r>
            <w:r w:rsidRPr="005251F3">
              <w:rPr>
                <w:rFonts w:ascii="Arial" w:hAnsi="Arial" w:cs="Arial"/>
                <w:sz w:val="20"/>
                <w:szCs w:val="20"/>
              </w:rPr>
              <w:t>11</w:t>
            </w:r>
            <w:r w:rsidR="00647224" w:rsidRPr="005251F3">
              <w:rPr>
                <w:rFonts w:ascii="Arial" w:hAnsi="Arial" w:cs="Arial"/>
                <w:sz w:val="20"/>
                <w:szCs w:val="20"/>
              </w:rPr>
              <w:t xml:space="preserve"> </w:t>
            </w:r>
            <w:r w:rsidRPr="005251F3">
              <w:rPr>
                <w:rFonts w:ascii="Arial" w:hAnsi="Arial" w:cs="Arial"/>
                <w:sz w:val="20"/>
                <w:szCs w:val="20"/>
              </w:rPr>
              <w:t>Absatz</w:t>
            </w:r>
            <w:r w:rsidR="00647224" w:rsidRPr="005251F3">
              <w:rPr>
                <w:rFonts w:ascii="Arial" w:hAnsi="Arial" w:cs="Arial"/>
                <w:sz w:val="20"/>
                <w:szCs w:val="20"/>
              </w:rPr>
              <w:t xml:space="preserve"> </w:t>
            </w:r>
            <w:r w:rsidRPr="005251F3">
              <w:rPr>
                <w:rFonts w:ascii="Arial" w:hAnsi="Arial" w:cs="Arial"/>
                <w:sz w:val="20"/>
                <w:szCs w:val="20"/>
              </w:rPr>
              <w:t>3</w:t>
            </w:r>
            <w:r w:rsidR="00647224" w:rsidRPr="005251F3">
              <w:rPr>
                <w:rFonts w:ascii="Arial" w:hAnsi="Arial" w:cs="Arial"/>
                <w:sz w:val="20"/>
                <w:szCs w:val="20"/>
              </w:rPr>
              <w:t xml:space="preserve"> </w:t>
            </w:r>
            <w:r w:rsidRPr="005251F3">
              <w:rPr>
                <w:rFonts w:ascii="Arial" w:hAnsi="Arial" w:cs="Arial"/>
                <w:sz w:val="20"/>
                <w:szCs w:val="20"/>
              </w:rPr>
              <w:t>HOAI gemindert, wenn die Leistungen nicht im zeitlichen oder örtlichen Zusammenhang erbracht werden (§</w:t>
            </w:r>
            <w:r w:rsidR="005D4EFE" w:rsidRPr="005251F3">
              <w:rPr>
                <w:rFonts w:ascii="Arial" w:hAnsi="Arial" w:cs="Arial"/>
                <w:sz w:val="20"/>
                <w:szCs w:val="20"/>
              </w:rPr>
              <w:t> </w:t>
            </w:r>
            <w:r w:rsidRPr="005251F3">
              <w:rPr>
                <w:rFonts w:ascii="Arial" w:hAnsi="Arial" w:cs="Arial"/>
                <w:sz w:val="20"/>
                <w:szCs w:val="20"/>
              </w:rPr>
              <w:t>11</w:t>
            </w:r>
            <w:r w:rsidR="00647224" w:rsidRPr="005251F3">
              <w:rPr>
                <w:rFonts w:ascii="Arial" w:hAnsi="Arial" w:cs="Arial"/>
                <w:sz w:val="20"/>
                <w:szCs w:val="20"/>
              </w:rPr>
              <w:t xml:space="preserve"> </w:t>
            </w:r>
            <w:r w:rsidRPr="005251F3">
              <w:rPr>
                <w:rFonts w:ascii="Arial" w:hAnsi="Arial" w:cs="Arial"/>
                <w:sz w:val="20"/>
                <w:szCs w:val="20"/>
              </w:rPr>
              <w:t>Absatz</w:t>
            </w:r>
            <w:r w:rsidR="00647224" w:rsidRPr="005251F3">
              <w:rPr>
                <w:rFonts w:ascii="Arial" w:hAnsi="Arial" w:cs="Arial"/>
                <w:sz w:val="20"/>
                <w:szCs w:val="20"/>
              </w:rPr>
              <w:t xml:space="preserve"> </w:t>
            </w:r>
            <w:r w:rsidRPr="005251F3">
              <w:rPr>
                <w:rFonts w:ascii="Arial" w:hAnsi="Arial" w:cs="Arial"/>
                <w:sz w:val="20"/>
                <w:szCs w:val="20"/>
              </w:rPr>
              <w:t>4</w:t>
            </w:r>
            <w:r w:rsidR="00647224" w:rsidRPr="005251F3">
              <w:rPr>
                <w:rFonts w:ascii="Arial" w:hAnsi="Arial" w:cs="Arial"/>
                <w:sz w:val="20"/>
                <w:szCs w:val="20"/>
              </w:rPr>
              <w:t xml:space="preserve"> </w:t>
            </w:r>
            <w:r w:rsidRPr="005251F3">
              <w:rPr>
                <w:rFonts w:ascii="Arial" w:hAnsi="Arial" w:cs="Arial"/>
                <w:sz w:val="20"/>
                <w:szCs w:val="20"/>
              </w:rPr>
              <w:t>HOAI). Im Gegensatz zu §</w:t>
            </w:r>
            <w:r w:rsidR="005D4EFE" w:rsidRPr="005251F3">
              <w:rPr>
                <w:rFonts w:ascii="Arial" w:hAnsi="Arial" w:cs="Arial"/>
                <w:sz w:val="20"/>
                <w:szCs w:val="20"/>
              </w:rPr>
              <w:t> </w:t>
            </w:r>
            <w:r w:rsidRPr="005251F3">
              <w:rPr>
                <w:rFonts w:ascii="Arial" w:hAnsi="Arial" w:cs="Arial"/>
                <w:sz w:val="20"/>
                <w:szCs w:val="20"/>
              </w:rPr>
              <w:t>11</w:t>
            </w:r>
            <w:r w:rsidR="00647224" w:rsidRPr="005251F3">
              <w:rPr>
                <w:rFonts w:ascii="Arial" w:hAnsi="Arial" w:cs="Arial"/>
                <w:sz w:val="20"/>
                <w:szCs w:val="20"/>
              </w:rPr>
              <w:t xml:space="preserve"> </w:t>
            </w:r>
            <w:r w:rsidRPr="005251F3">
              <w:rPr>
                <w:rFonts w:ascii="Arial" w:hAnsi="Arial" w:cs="Arial"/>
                <w:sz w:val="20"/>
                <w:szCs w:val="20"/>
              </w:rPr>
              <w:t>Absatz</w:t>
            </w:r>
            <w:r w:rsidR="00647224" w:rsidRPr="005251F3">
              <w:rPr>
                <w:rFonts w:ascii="Arial" w:hAnsi="Arial" w:cs="Arial"/>
                <w:sz w:val="20"/>
                <w:szCs w:val="20"/>
              </w:rPr>
              <w:t xml:space="preserve"> </w:t>
            </w:r>
            <w:r w:rsidRPr="005251F3">
              <w:rPr>
                <w:rFonts w:ascii="Arial" w:hAnsi="Arial" w:cs="Arial"/>
                <w:sz w:val="20"/>
                <w:szCs w:val="20"/>
              </w:rPr>
              <w:t>3</w:t>
            </w:r>
            <w:r w:rsidR="00647224" w:rsidRPr="005251F3">
              <w:rPr>
                <w:rFonts w:ascii="Arial" w:hAnsi="Arial" w:cs="Arial"/>
                <w:sz w:val="20"/>
                <w:szCs w:val="20"/>
              </w:rPr>
              <w:t xml:space="preserve"> </w:t>
            </w:r>
            <w:r w:rsidRPr="005251F3">
              <w:rPr>
                <w:rFonts w:ascii="Arial" w:hAnsi="Arial" w:cs="Arial"/>
                <w:sz w:val="20"/>
                <w:szCs w:val="20"/>
              </w:rPr>
              <w:t>HOAI greift hier die Minderung des Honorars für alle Objekte, da die erste (vollhonorierte) Planung durch den anderen, früheren Auftrag zwischen den Vertragsparteien abgerechnet wurde.</w:t>
            </w:r>
          </w:p>
        </w:tc>
      </w:tr>
      <w:tr w:rsidR="005D4EFE" w:rsidRPr="005251F3" w:rsidTr="00061E91">
        <w:trPr>
          <w:cantSplit/>
        </w:trPr>
        <w:tc>
          <w:tcPr>
            <w:tcW w:w="1668" w:type="dxa"/>
            <w:shd w:val="clear" w:color="auto" w:fill="auto"/>
          </w:tcPr>
          <w:p w:rsidR="005D4EFE" w:rsidRPr="005251F3" w:rsidRDefault="005D4EFE"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5D4EFE" w:rsidRPr="005251F3" w:rsidRDefault="005D4EFE" w:rsidP="00647224">
            <w:pPr>
              <w:spacing w:before="80" w:line="276" w:lineRule="auto"/>
              <w:jc w:val="both"/>
              <w:rPr>
                <w:rFonts w:ascii="Arial" w:hAnsi="Arial" w:cs="Arial"/>
                <w:sz w:val="20"/>
                <w:szCs w:val="20"/>
              </w:rPr>
            </w:pPr>
            <w:r w:rsidRPr="005251F3">
              <w:rPr>
                <w:rFonts w:ascii="Arial" w:hAnsi="Arial" w:cs="Arial"/>
                <w:sz w:val="20"/>
                <w:szCs w:val="20"/>
              </w:rPr>
              <w:t>Umfasst ein Auftrag im Wesentlichen gleiche Anlagen der Technischen Ausrüstung, die bereits Gegenstand eines anderen Vertrages zwischen den Vertragsparteien waren, ist auch die Rechtsfolge des § 11</w:t>
            </w:r>
            <w:r w:rsidR="00647224" w:rsidRPr="005251F3">
              <w:rPr>
                <w:rFonts w:ascii="Arial" w:hAnsi="Arial" w:cs="Arial"/>
                <w:sz w:val="20"/>
                <w:szCs w:val="20"/>
              </w:rPr>
              <w:t xml:space="preserve"> </w:t>
            </w:r>
            <w:r w:rsidRPr="005251F3">
              <w:rPr>
                <w:rFonts w:ascii="Arial" w:hAnsi="Arial" w:cs="Arial"/>
                <w:sz w:val="20"/>
                <w:szCs w:val="20"/>
              </w:rPr>
              <w:t>Absatz</w:t>
            </w:r>
            <w:r w:rsidR="00647224" w:rsidRPr="005251F3">
              <w:rPr>
                <w:rFonts w:ascii="Arial" w:hAnsi="Arial" w:cs="Arial"/>
                <w:sz w:val="20"/>
                <w:szCs w:val="20"/>
              </w:rPr>
              <w:t xml:space="preserve"> </w:t>
            </w:r>
            <w:r w:rsidRPr="005251F3">
              <w:rPr>
                <w:rFonts w:ascii="Arial" w:hAnsi="Arial" w:cs="Arial"/>
                <w:sz w:val="20"/>
                <w:szCs w:val="20"/>
              </w:rPr>
              <w:t>4</w:t>
            </w:r>
            <w:r w:rsidR="00647224" w:rsidRPr="005251F3">
              <w:rPr>
                <w:rFonts w:ascii="Arial" w:hAnsi="Arial" w:cs="Arial"/>
                <w:sz w:val="20"/>
                <w:szCs w:val="20"/>
              </w:rPr>
              <w:t xml:space="preserve"> </w:t>
            </w:r>
            <w:r w:rsidRPr="005251F3">
              <w:rPr>
                <w:rFonts w:ascii="Arial" w:hAnsi="Arial" w:cs="Arial"/>
                <w:sz w:val="20"/>
                <w:szCs w:val="20"/>
              </w:rPr>
              <w:t>HOAI anzuwenden.</w:t>
            </w:r>
          </w:p>
        </w:tc>
      </w:tr>
      <w:tr w:rsidR="005D4EFE" w:rsidRPr="005251F3" w:rsidTr="00061E91">
        <w:trPr>
          <w:cantSplit/>
        </w:trPr>
        <w:tc>
          <w:tcPr>
            <w:tcW w:w="1668" w:type="dxa"/>
            <w:shd w:val="clear" w:color="auto" w:fill="auto"/>
          </w:tcPr>
          <w:p w:rsidR="005D4EFE" w:rsidRPr="005251F3" w:rsidRDefault="005D4EFE"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5D4EFE" w:rsidRPr="005251F3" w:rsidRDefault="005D4EFE" w:rsidP="00647224">
            <w:pPr>
              <w:spacing w:before="80" w:line="276" w:lineRule="auto"/>
              <w:jc w:val="both"/>
              <w:rPr>
                <w:rFonts w:ascii="Arial" w:hAnsi="Arial" w:cs="Arial"/>
                <w:sz w:val="20"/>
                <w:szCs w:val="20"/>
              </w:rPr>
            </w:pPr>
            <w:r w:rsidRPr="005251F3">
              <w:rPr>
                <w:rFonts w:ascii="Arial" w:hAnsi="Arial" w:cs="Arial"/>
                <w:sz w:val="20"/>
                <w:szCs w:val="20"/>
              </w:rPr>
              <w:t>Zu der Regelung des § 11</w:t>
            </w:r>
            <w:r w:rsidR="00647224" w:rsidRPr="005251F3">
              <w:rPr>
                <w:rFonts w:ascii="Arial" w:hAnsi="Arial" w:cs="Arial"/>
                <w:sz w:val="20"/>
                <w:szCs w:val="20"/>
              </w:rPr>
              <w:t xml:space="preserve"> </w:t>
            </w:r>
            <w:r w:rsidRPr="005251F3">
              <w:rPr>
                <w:rFonts w:ascii="Arial" w:hAnsi="Arial" w:cs="Arial"/>
                <w:sz w:val="20"/>
                <w:szCs w:val="20"/>
              </w:rPr>
              <w:t>Absatz</w:t>
            </w:r>
            <w:r w:rsidR="00647224" w:rsidRPr="005251F3">
              <w:rPr>
                <w:rFonts w:ascii="Arial" w:hAnsi="Arial" w:cs="Arial"/>
                <w:sz w:val="20"/>
                <w:szCs w:val="20"/>
              </w:rPr>
              <w:t xml:space="preserve"> </w:t>
            </w:r>
            <w:r w:rsidRPr="005251F3">
              <w:rPr>
                <w:rFonts w:ascii="Arial" w:hAnsi="Arial" w:cs="Arial"/>
                <w:sz w:val="20"/>
                <w:szCs w:val="20"/>
              </w:rPr>
              <w:t>2 HOAI, der das Zusammenfassen der anrechenbaren Kosten von mehreren vergleichbaren Gebäuden, Ingenieurbauwerken oder Verkehrsanlagen betrifft, vergleiche Hinweise zu § 10</w:t>
            </w:r>
            <w:r w:rsidR="00647224" w:rsidRPr="005251F3">
              <w:rPr>
                <w:rFonts w:ascii="Arial" w:hAnsi="Arial" w:cs="Arial"/>
                <w:sz w:val="20"/>
                <w:szCs w:val="20"/>
              </w:rPr>
              <w:t xml:space="preserve"> </w:t>
            </w:r>
            <w:r w:rsidRPr="005251F3">
              <w:rPr>
                <w:rFonts w:ascii="Arial" w:hAnsi="Arial" w:cs="Arial"/>
                <w:sz w:val="20"/>
                <w:szCs w:val="20"/>
              </w:rPr>
              <w:t>Nummer</w:t>
            </w:r>
            <w:r w:rsidR="00647224" w:rsidRPr="005251F3">
              <w:rPr>
                <w:rFonts w:ascii="Arial" w:hAnsi="Arial" w:cs="Arial"/>
                <w:sz w:val="20"/>
                <w:szCs w:val="20"/>
              </w:rPr>
              <w:t xml:space="preserve"> </w:t>
            </w:r>
            <w:r w:rsidRPr="005251F3">
              <w:rPr>
                <w:rFonts w:ascii="Arial" w:hAnsi="Arial" w:cs="Arial"/>
                <w:sz w:val="20"/>
                <w:szCs w:val="20"/>
              </w:rPr>
              <w:t>10.1.</w:t>
            </w:r>
          </w:p>
        </w:tc>
      </w:tr>
      <w:tr w:rsidR="00780869" w:rsidRPr="005251F3" w:rsidTr="00061E91">
        <w:trPr>
          <w:cantSplit/>
        </w:trPr>
        <w:tc>
          <w:tcPr>
            <w:tcW w:w="1668" w:type="dxa"/>
            <w:shd w:val="clear" w:color="auto" w:fill="auto"/>
          </w:tcPr>
          <w:p w:rsidR="00780869" w:rsidRPr="005251F3" w:rsidRDefault="00780869"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8E527B" w:rsidRPr="005251F3" w:rsidRDefault="008E527B" w:rsidP="00780869">
            <w:pPr>
              <w:spacing w:before="80" w:line="276" w:lineRule="auto"/>
              <w:jc w:val="both"/>
              <w:rPr>
                <w:rFonts w:ascii="Arial" w:hAnsi="Arial" w:cs="Arial"/>
                <w:b/>
                <w:sz w:val="20"/>
                <w:szCs w:val="20"/>
              </w:rPr>
            </w:pPr>
          </w:p>
          <w:p w:rsidR="00780869" w:rsidRPr="005251F3" w:rsidRDefault="00C118F7" w:rsidP="00780869">
            <w:pPr>
              <w:spacing w:before="80" w:line="276" w:lineRule="auto"/>
              <w:jc w:val="both"/>
              <w:rPr>
                <w:rFonts w:ascii="Arial" w:hAnsi="Arial" w:cs="Arial"/>
                <w:b/>
                <w:sz w:val="20"/>
                <w:szCs w:val="20"/>
              </w:rPr>
            </w:pPr>
            <w:r w:rsidRPr="005251F3">
              <w:rPr>
                <w:rFonts w:ascii="Arial" w:hAnsi="Arial" w:cs="Arial"/>
                <w:b/>
                <w:sz w:val="20"/>
                <w:szCs w:val="20"/>
              </w:rPr>
              <w:t>Zu- oder Abschlag auf das Gesamthonorar der Grundleistungen</w:t>
            </w:r>
          </w:p>
          <w:p w:rsidR="008E527B" w:rsidRPr="005251F3" w:rsidRDefault="00780869">
            <w:pPr>
              <w:spacing w:before="80" w:line="276" w:lineRule="auto"/>
              <w:jc w:val="both"/>
              <w:rPr>
                <w:rFonts w:ascii="Arial" w:hAnsi="Arial" w:cs="Arial"/>
                <w:sz w:val="20"/>
                <w:szCs w:val="20"/>
              </w:rPr>
            </w:pPr>
            <w:r w:rsidRPr="005251F3">
              <w:rPr>
                <w:rFonts w:ascii="Arial" w:hAnsi="Arial" w:cs="Arial"/>
                <w:sz w:val="20"/>
                <w:szCs w:val="20"/>
              </w:rPr>
              <w:t xml:space="preserve">Das Gesamthonorar für die Grundleistungen kann durch Zu- oder Abschläge gegenüber den insoweit nicht mehr verbindlichen Mindest- oder Höchsthonorarsätzen der HOAI abweichen. </w:t>
            </w:r>
            <w:r w:rsidR="00C118F7" w:rsidRPr="005251F3">
              <w:rPr>
                <w:rFonts w:ascii="Arial" w:hAnsi="Arial" w:cs="Arial"/>
                <w:sz w:val="20"/>
                <w:szCs w:val="20"/>
              </w:rPr>
              <w:t xml:space="preserve">Das nach den Honorarermittlungsgrundlagen der HOAI berechnete Gesamthonorar der Grundleistungen stellt eine angemessene Honorarermittlung für diese sicher. Bei der preisrechtlichen Prüfung ist das Gesamtangebot, mit den Zu- oder Abschlägen auf das Gesamthonorar der Grundleistungen, den Besonderen Leistungen und sonstigen Kosten, hinsichtlich der Wirtschaftlichkeit und Auskömmlichkeit zu beurteilen. Über die Regelung des § 60 VgV hinaus (Aufklärung ungewöhnlich niedriger Angebote) ist die Entscheidung über eine erforderliche Aufklärung des Honorarangebots im Einzelfall zu treffen. </w:t>
            </w:r>
            <w:r w:rsidRPr="005251F3">
              <w:rPr>
                <w:rFonts w:ascii="Arial" w:hAnsi="Arial" w:cs="Arial"/>
                <w:sz w:val="20"/>
                <w:szCs w:val="20"/>
              </w:rPr>
              <w:t xml:space="preserve"> </w:t>
            </w:r>
          </w:p>
          <w:p w:rsidR="00780869" w:rsidRPr="005251F3" w:rsidRDefault="00780869">
            <w:pPr>
              <w:spacing w:before="80" w:line="276" w:lineRule="auto"/>
              <w:jc w:val="both"/>
              <w:rPr>
                <w:rFonts w:ascii="Arial" w:hAnsi="Arial" w:cs="Arial"/>
                <w:sz w:val="20"/>
                <w:szCs w:val="20"/>
              </w:rPr>
            </w:pPr>
          </w:p>
        </w:tc>
      </w:tr>
      <w:tr w:rsidR="00DF58EB" w:rsidRPr="005251F3" w:rsidTr="00061E91">
        <w:trPr>
          <w:cantSplit/>
        </w:trPr>
        <w:tc>
          <w:tcPr>
            <w:tcW w:w="1668" w:type="dxa"/>
            <w:shd w:val="clear" w:color="auto" w:fill="auto"/>
          </w:tcPr>
          <w:p w:rsidR="00DF58EB" w:rsidRPr="005251F3" w:rsidRDefault="007D0A63" w:rsidP="00EC6527">
            <w:pPr>
              <w:spacing w:before="80" w:line="276" w:lineRule="auto"/>
              <w:ind w:firstLine="549"/>
              <w:jc w:val="both"/>
              <w:rPr>
                <w:rFonts w:ascii="Arial" w:hAnsi="Arial" w:cs="Arial"/>
                <w:b/>
                <w:sz w:val="20"/>
                <w:szCs w:val="20"/>
              </w:rPr>
            </w:pPr>
            <w:r w:rsidRPr="005251F3">
              <w:rPr>
                <w:rFonts w:ascii="Arial" w:hAnsi="Arial" w:cs="Arial"/>
                <w:b/>
                <w:sz w:val="20"/>
                <w:szCs w:val="20"/>
              </w:rPr>
              <w:t>Zu</w:t>
            </w:r>
            <w:r w:rsidR="008F05F5" w:rsidRPr="005251F3">
              <w:rPr>
                <w:rFonts w:ascii="Arial" w:hAnsi="Arial" w:cs="Arial"/>
                <w:b/>
                <w:sz w:val="20"/>
                <w:szCs w:val="20"/>
              </w:rPr>
              <w:t xml:space="preserve"> 10</w:t>
            </w:r>
            <w:r w:rsidR="005D2458" w:rsidRPr="005251F3">
              <w:rPr>
                <w:rFonts w:ascii="Arial" w:hAnsi="Arial" w:cs="Arial"/>
                <w:b/>
                <w:sz w:val="20"/>
                <w:szCs w:val="20"/>
              </w:rPr>
              <w:t>.</w:t>
            </w:r>
            <w:r w:rsidR="0024100A" w:rsidRPr="005251F3">
              <w:rPr>
                <w:rFonts w:ascii="Arial" w:hAnsi="Arial" w:cs="Arial"/>
                <w:b/>
                <w:sz w:val="20"/>
                <w:szCs w:val="20"/>
              </w:rPr>
              <w:t>9</w:t>
            </w:r>
          </w:p>
        </w:tc>
        <w:tc>
          <w:tcPr>
            <w:tcW w:w="7546" w:type="dxa"/>
            <w:gridSpan w:val="3"/>
            <w:shd w:val="clear" w:color="auto" w:fill="auto"/>
          </w:tcPr>
          <w:p w:rsidR="00DF58EB" w:rsidRPr="005251F3" w:rsidRDefault="00DF58EB" w:rsidP="00EC6527">
            <w:pPr>
              <w:spacing w:before="80" w:line="276" w:lineRule="auto"/>
              <w:jc w:val="both"/>
              <w:rPr>
                <w:rFonts w:ascii="Arial" w:hAnsi="Arial" w:cs="Arial"/>
                <w:b/>
                <w:sz w:val="20"/>
                <w:szCs w:val="20"/>
              </w:rPr>
            </w:pPr>
            <w:r w:rsidRPr="005251F3">
              <w:rPr>
                <w:rFonts w:ascii="Arial" w:hAnsi="Arial" w:cs="Arial"/>
                <w:b/>
                <w:sz w:val="20"/>
                <w:szCs w:val="20"/>
              </w:rPr>
              <w:t>Besondere Leistungen</w:t>
            </w:r>
          </w:p>
          <w:p w:rsidR="008E527B" w:rsidRPr="005251F3" w:rsidRDefault="00A06EC4" w:rsidP="00E1094D">
            <w:pPr>
              <w:spacing w:before="80" w:line="276" w:lineRule="auto"/>
              <w:jc w:val="both"/>
              <w:rPr>
                <w:rFonts w:ascii="Arial" w:hAnsi="Arial" w:cs="Arial"/>
                <w:sz w:val="20"/>
                <w:szCs w:val="20"/>
              </w:rPr>
            </w:pPr>
            <w:r w:rsidRPr="005251F3">
              <w:rPr>
                <w:rFonts w:ascii="Arial" w:hAnsi="Arial" w:cs="Arial"/>
                <w:sz w:val="20"/>
                <w:szCs w:val="20"/>
              </w:rPr>
              <w:t>Besondere Leistungen werden entweder pauschal oder zum Nachweis oder nach den vereinbarten Stundensätzen bzw. mit den v.H.-Sätzen auf das Grundhonorar vergütet. Die Honorarvereinbarungen sind</w:t>
            </w:r>
            <w:r w:rsidR="00846C0B" w:rsidRPr="005251F3">
              <w:rPr>
                <w:rFonts w:ascii="Arial" w:hAnsi="Arial" w:cs="Arial"/>
                <w:sz w:val="20"/>
                <w:szCs w:val="20"/>
              </w:rPr>
              <w:t xml:space="preserve"> in der Anlage zu </w:t>
            </w:r>
            <w:r w:rsidR="00846C0B" w:rsidRPr="005251F3">
              <w:rPr>
                <w:rFonts w:ascii="Arial" w:hAnsi="Arial" w:cs="Arial"/>
                <w:color w:val="000000"/>
                <w:sz w:val="20"/>
                <w:szCs w:val="20"/>
              </w:rPr>
              <w:t>§§</w:t>
            </w:r>
            <w:r w:rsidR="006F0D9E" w:rsidRPr="005251F3">
              <w:rPr>
                <w:rFonts w:ascii="Arial" w:hAnsi="Arial" w:cs="Arial"/>
                <w:color w:val="000000"/>
                <w:sz w:val="20"/>
                <w:szCs w:val="20"/>
              </w:rPr>
              <w:t xml:space="preserve"> 8, 10 und 11 (Honorarangebot </w:t>
            </w:r>
            <w:r w:rsidR="006435B8" w:rsidRPr="005251F3">
              <w:rPr>
                <w:rFonts w:ascii="Arial" w:hAnsi="Arial" w:cs="Arial"/>
                <w:color w:val="000000"/>
                <w:sz w:val="20"/>
                <w:szCs w:val="20"/>
              </w:rPr>
              <w:t>für</w:t>
            </w:r>
            <w:r w:rsidR="000262CE">
              <w:rPr>
                <w:rFonts w:ascii="Arial" w:hAnsi="Arial" w:cs="Arial"/>
                <w:color w:val="000000"/>
                <w:sz w:val="20"/>
                <w:szCs w:val="20"/>
              </w:rPr>
              <w:t> </w:t>
            </w:r>
            <w:r w:rsidR="006F0D9E" w:rsidRPr="005251F3">
              <w:rPr>
                <w:rFonts w:ascii="Arial" w:hAnsi="Arial" w:cs="Arial"/>
                <w:color w:val="000000"/>
                <w:sz w:val="20"/>
                <w:szCs w:val="20"/>
              </w:rPr>
              <w:t>…</w:t>
            </w:r>
            <w:r w:rsidR="00846C0B" w:rsidRPr="005251F3">
              <w:rPr>
                <w:rFonts w:ascii="Arial" w:hAnsi="Arial" w:cs="Arial"/>
                <w:color w:val="000000"/>
                <w:sz w:val="20"/>
                <w:szCs w:val="20"/>
              </w:rPr>
              <w:t>)</w:t>
            </w:r>
            <w:r w:rsidR="00846C0B" w:rsidRPr="005251F3">
              <w:rPr>
                <w:rFonts w:ascii="Arial" w:hAnsi="Arial" w:cs="Arial"/>
                <w:sz w:val="20"/>
                <w:szCs w:val="20"/>
              </w:rPr>
              <w:t xml:space="preserve"> festzulegen.</w:t>
            </w:r>
            <w:r w:rsidR="006F0D9E" w:rsidRPr="005251F3">
              <w:rPr>
                <w:rFonts w:ascii="Arial" w:hAnsi="Arial" w:cs="Arial"/>
                <w:sz w:val="20"/>
                <w:szCs w:val="20"/>
              </w:rPr>
              <w:t xml:space="preserve"> </w:t>
            </w:r>
            <w:r w:rsidR="001C0D48" w:rsidRPr="005251F3">
              <w:rPr>
                <w:rFonts w:ascii="Arial" w:hAnsi="Arial" w:cs="Arial"/>
                <w:sz w:val="20"/>
                <w:szCs w:val="20"/>
              </w:rPr>
              <w:t>D</w:t>
            </w:r>
            <w:r w:rsidR="007C19A3" w:rsidRPr="005251F3">
              <w:rPr>
                <w:rFonts w:ascii="Arial" w:hAnsi="Arial" w:cs="Arial"/>
                <w:sz w:val="20"/>
                <w:szCs w:val="20"/>
              </w:rPr>
              <w:t>er Umfang der</w:t>
            </w:r>
            <w:r w:rsidR="001C0D48" w:rsidRPr="005251F3">
              <w:rPr>
                <w:rFonts w:ascii="Arial" w:hAnsi="Arial" w:cs="Arial"/>
                <w:sz w:val="20"/>
                <w:szCs w:val="20"/>
              </w:rPr>
              <w:t xml:space="preserve"> </w:t>
            </w:r>
            <w:r w:rsidR="008E527B" w:rsidRPr="005251F3">
              <w:rPr>
                <w:rFonts w:ascii="Arial" w:hAnsi="Arial" w:cs="Arial"/>
                <w:sz w:val="20"/>
                <w:szCs w:val="20"/>
              </w:rPr>
              <w:t xml:space="preserve">Besonderen Leistungen </w:t>
            </w:r>
            <w:r w:rsidR="007C19A3" w:rsidRPr="005251F3">
              <w:rPr>
                <w:rFonts w:ascii="Arial" w:hAnsi="Arial" w:cs="Arial"/>
                <w:sz w:val="20"/>
                <w:szCs w:val="20"/>
              </w:rPr>
              <w:t xml:space="preserve">ist </w:t>
            </w:r>
            <w:r w:rsidR="001C0D48" w:rsidRPr="005251F3">
              <w:rPr>
                <w:rFonts w:ascii="Arial" w:hAnsi="Arial" w:cs="Arial"/>
                <w:sz w:val="20"/>
                <w:szCs w:val="20"/>
              </w:rPr>
              <w:t>in d</w:t>
            </w:r>
            <w:r w:rsidR="007C19A3" w:rsidRPr="005251F3">
              <w:rPr>
                <w:rFonts w:ascii="Arial" w:hAnsi="Arial" w:cs="Arial"/>
                <w:sz w:val="20"/>
                <w:szCs w:val="20"/>
              </w:rPr>
              <w:t>en</w:t>
            </w:r>
            <w:r w:rsidR="001C0D48" w:rsidRPr="005251F3">
              <w:rPr>
                <w:rFonts w:ascii="Arial" w:hAnsi="Arial" w:cs="Arial"/>
                <w:sz w:val="20"/>
                <w:szCs w:val="20"/>
              </w:rPr>
              <w:t xml:space="preserve"> Anlage</w:t>
            </w:r>
            <w:r w:rsidR="005D2458" w:rsidRPr="005251F3">
              <w:rPr>
                <w:rFonts w:ascii="Arial" w:hAnsi="Arial" w:cs="Arial"/>
                <w:sz w:val="20"/>
                <w:szCs w:val="20"/>
              </w:rPr>
              <w:t>(n)</w:t>
            </w:r>
            <w:r w:rsidR="005D4EFE" w:rsidRPr="005251F3">
              <w:rPr>
                <w:rFonts w:ascii="Arial" w:hAnsi="Arial" w:cs="Arial"/>
                <w:sz w:val="20"/>
                <w:szCs w:val="20"/>
              </w:rPr>
              <w:t xml:space="preserve"> zu § </w:t>
            </w:r>
            <w:r w:rsidR="001C0D48" w:rsidRPr="005251F3">
              <w:rPr>
                <w:rFonts w:ascii="Arial" w:hAnsi="Arial" w:cs="Arial"/>
                <w:sz w:val="20"/>
                <w:szCs w:val="20"/>
              </w:rPr>
              <w:t>6 aufzunehmen.</w:t>
            </w:r>
          </w:p>
        </w:tc>
      </w:tr>
      <w:tr w:rsidR="00E1094D" w:rsidRPr="005251F3" w:rsidTr="00061E91">
        <w:trPr>
          <w:cantSplit/>
        </w:trPr>
        <w:tc>
          <w:tcPr>
            <w:tcW w:w="1668" w:type="dxa"/>
            <w:shd w:val="clear" w:color="auto" w:fill="auto"/>
          </w:tcPr>
          <w:p w:rsidR="00E1094D" w:rsidRPr="005251F3" w:rsidRDefault="00E1094D" w:rsidP="00EC6527">
            <w:pPr>
              <w:spacing w:before="80" w:line="276" w:lineRule="auto"/>
              <w:ind w:firstLine="549"/>
              <w:jc w:val="both"/>
              <w:rPr>
                <w:rFonts w:ascii="Arial" w:hAnsi="Arial" w:cs="Arial"/>
                <w:b/>
                <w:sz w:val="20"/>
                <w:szCs w:val="20"/>
              </w:rPr>
            </w:pPr>
          </w:p>
        </w:tc>
        <w:tc>
          <w:tcPr>
            <w:tcW w:w="7546" w:type="dxa"/>
            <w:gridSpan w:val="3"/>
            <w:shd w:val="clear" w:color="auto" w:fill="auto"/>
          </w:tcPr>
          <w:p w:rsidR="00E1094D" w:rsidRPr="005251F3" w:rsidRDefault="00E1094D" w:rsidP="00EC6527">
            <w:pPr>
              <w:spacing w:before="80" w:line="276" w:lineRule="auto"/>
              <w:jc w:val="both"/>
              <w:rPr>
                <w:rFonts w:ascii="Arial" w:hAnsi="Arial" w:cs="Arial"/>
                <w:b/>
                <w:sz w:val="20"/>
                <w:szCs w:val="20"/>
              </w:rPr>
            </w:pPr>
          </w:p>
        </w:tc>
      </w:tr>
      <w:tr w:rsidR="00B5447B" w:rsidRPr="005251F3" w:rsidTr="00061E91">
        <w:trPr>
          <w:cantSplit/>
        </w:trPr>
        <w:tc>
          <w:tcPr>
            <w:tcW w:w="1668" w:type="dxa"/>
            <w:shd w:val="clear" w:color="auto" w:fill="auto"/>
          </w:tcPr>
          <w:p w:rsidR="00B5447B" w:rsidRPr="005251F3" w:rsidRDefault="00B5447B" w:rsidP="00EC6527">
            <w:pPr>
              <w:spacing w:before="80" w:line="276" w:lineRule="auto"/>
              <w:ind w:firstLine="549"/>
              <w:jc w:val="both"/>
              <w:rPr>
                <w:rFonts w:ascii="Arial" w:hAnsi="Arial" w:cs="Arial"/>
                <w:b/>
                <w:sz w:val="20"/>
                <w:szCs w:val="20"/>
              </w:rPr>
            </w:pPr>
            <w:r w:rsidRPr="005251F3">
              <w:rPr>
                <w:rFonts w:ascii="Arial" w:hAnsi="Arial" w:cs="Arial"/>
                <w:b/>
                <w:sz w:val="20"/>
                <w:szCs w:val="20"/>
              </w:rPr>
              <w:t>Zu 10.</w:t>
            </w:r>
            <w:r w:rsidR="0024100A" w:rsidRPr="005251F3">
              <w:rPr>
                <w:rFonts w:ascii="Arial" w:hAnsi="Arial" w:cs="Arial"/>
                <w:b/>
                <w:sz w:val="20"/>
                <w:szCs w:val="20"/>
              </w:rPr>
              <w:t>10</w:t>
            </w:r>
          </w:p>
        </w:tc>
        <w:tc>
          <w:tcPr>
            <w:tcW w:w="7546" w:type="dxa"/>
            <w:gridSpan w:val="3"/>
            <w:shd w:val="clear" w:color="auto" w:fill="auto"/>
          </w:tcPr>
          <w:p w:rsidR="00B5447B" w:rsidRPr="005251F3" w:rsidRDefault="00B5447B" w:rsidP="00EC6527">
            <w:pPr>
              <w:spacing w:before="80" w:line="276" w:lineRule="auto"/>
              <w:jc w:val="both"/>
              <w:rPr>
                <w:rFonts w:ascii="Arial" w:hAnsi="Arial" w:cs="Arial"/>
                <w:b/>
                <w:sz w:val="20"/>
                <w:szCs w:val="20"/>
              </w:rPr>
            </w:pPr>
            <w:r w:rsidRPr="005251F3">
              <w:rPr>
                <w:rFonts w:ascii="Arial" w:hAnsi="Arial" w:cs="Arial"/>
                <w:b/>
                <w:sz w:val="20"/>
                <w:szCs w:val="20"/>
              </w:rPr>
              <w:t>Honorar bei Leistungsänderungen</w:t>
            </w:r>
          </w:p>
          <w:p w:rsidR="00B5447B" w:rsidRPr="005251F3" w:rsidRDefault="00B5447B" w:rsidP="00EC6527">
            <w:pPr>
              <w:spacing w:before="80" w:line="276" w:lineRule="auto"/>
              <w:jc w:val="both"/>
              <w:rPr>
                <w:rFonts w:ascii="Arial" w:hAnsi="Arial" w:cs="Arial"/>
                <w:sz w:val="20"/>
                <w:szCs w:val="20"/>
              </w:rPr>
            </w:pPr>
            <w:r w:rsidRPr="005251F3">
              <w:rPr>
                <w:rFonts w:ascii="Arial" w:hAnsi="Arial" w:cs="Arial"/>
                <w:sz w:val="20"/>
                <w:szCs w:val="20"/>
              </w:rPr>
              <w:t>Bei Leistungsänderungen ist §</w:t>
            </w:r>
            <w:r w:rsidR="005D4EFE" w:rsidRPr="005251F3">
              <w:rPr>
                <w:rFonts w:ascii="Arial" w:hAnsi="Arial" w:cs="Arial"/>
                <w:sz w:val="20"/>
                <w:szCs w:val="20"/>
              </w:rPr>
              <w:t> 10</w:t>
            </w:r>
            <w:r w:rsidR="00647224" w:rsidRPr="005251F3">
              <w:rPr>
                <w:rFonts w:ascii="Arial" w:hAnsi="Arial" w:cs="Arial"/>
                <w:sz w:val="20"/>
                <w:szCs w:val="20"/>
              </w:rPr>
              <w:t xml:space="preserve"> </w:t>
            </w:r>
            <w:r w:rsidRPr="005251F3">
              <w:rPr>
                <w:rFonts w:ascii="Arial" w:hAnsi="Arial" w:cs="Arial"/>
                <w:sz w:val="20"/>
                <w:szCs w:val="20"/>
              </w:rPr>
              <w:t>Absatz</w:t>
            </w:r>
            <w:r w:rsidR="00647224" w:rsidRPr="005251F3">
              <w:rPr>
                <w:rFonts w:ascii="Arial" w:hAnsi="Arial" w:cs="Arial"/>
                <w:sz w:val="20"/>
                <w:szCs w:val="20"/>
              </w:rPr>
              <w:t xml:space="preserve"> </w:t>
            </w:r>
            <w:r w:rsidRPr="005251F3">
              <w:rPr>
                <w:rFonts w:ascii="Arial" w:hAnsi="Arial" w:cs="Arial"/>
                <w:sz w:val="20"/>
                <w:szCs w:val="20"/>
              </w:rPr>
              <w:t>1</w:t>
            </w:r>
            <w:r w:rsidR="00647224" w:rsidRPr="005251F3">
              <w:rPr>
                <w:rFonts w:ascii="Arial" w:hAnsi="Arial" w:cs="Arial"/>
                <w:sz w:val="20"/>
                <w:szCs w:val="20"/>
              </w:rPr>
              <w:t xml:space="preserve"> </w:t>
            </w:r>
            <w:r w:rsidRPr="005251F3">
              <w:rPr>
                <w:rFonts w:ascii="Arial" w:hAnsi="Arial" w:cs="Arial"/>
                <w:sz w:val="20"/>
                <w:szCs w:val="20"/>
              </w:rPr>
              <w:t>HOAI, bei Wiederholung der Grundleistungen §</w:t>
            </w:r>
            <w:r w:rsidR="005D4EFE" w:rsidRPr="005251F3">
              <w:rPr>
                <w:rFonts w:ascii="Arial" w:hAnsi="Arial" w:cs="Arial"/>
                <w:sz w:val="20"/>
                <w:szCs w:val="20"/>
              </w:rPr>
              <w:t> </w:t>
            </w:r>
            <w:r w:rsidRPr="005251F3">
              <w:rPr>
                <w:rFonts w:ascii="Arial" w:hAnsi="Arial" w:cs="Arial"/>
                <w:sz w:val="20"/>
                <w:szCs w:val="20"/>
              </w:rPr>
              <w:t>10</w:t>
            </w:r>
            <w:r w:rsidR="00647224" w:rsidRPr="005251F3">
              <w:rPr>
                <w:rFonts w:ascii="Arial" w:hAnsi="Arial" w:cs="Arial"/>
                <w:sz w:val="20"/>
                <w:szCs w:val="20"/>
              </w:rPr>
              <w:t xml:space="preserve"> </w:t>
            </w:r>
            <w:r w:rsidRPr="005251F3">
              <w:rPr>
                <w:rFonts w:ascii="Arial" w:hAnsi="Arial" w:cs="Arial"/>
                <w:sz w:val="20"/>
                <w:szCs w:val="20"/>
              </w:rPr>
              <w:t>Ansatz</w:t>
            </w:r>
            <w:r w:rsidR="00647224" w:rsidRPr="005251F3">
              <w:rPr>
                <w:rFonts w:ascii="Arial" w:hAnsi="Arial" w:cs="Arial"/>
                <w:sz w:val="20"/>
                <w:szCs w:val="20"/>
              </w:rPr>
              <w:t xml:space="preserve"> </w:t>
            </w:r>
            <w:r w:rsidRPr="005251F3">
              <w:rPr>
                <w:rFonts w:ascii="Arial" w:hAnsi="Arial" w:cs="Arial"/>
                <w:sz w:val="20"/>
                <w:szCs w:val="20"/>
              </w:rPr>
              <w:t>2</w:t>
            </w:r>
            <w:r w:rsidR="00647224" w:rsidRPr="005251F3">
              <w:rPr>
                <w:rFonts w:ascii="Arial" w:hAnsi="Arial" w:cs="Arial"/>
                <w:sz w:val="20"/>
                <w:szCs w:val="20"/>
              </w:rPr>
              <w:t xml:space="preserve"> </w:t>
            </w:r>
            <w:r w:rsidRPr="005251F3">
              <w:rPr>
                <w:rFonts w:ascii="Arial" w:hAnsi="Arial" w:cs="Arial"/>
                <w:sz w:val="20"/>
                <w:szCs w:val="20"/>
              </w:rPr>
              <w:t>HOAI zu beachten.</w:t>
            </w:r>
          </w:p>
          <w:p w:rsidR="00B5447B" w:rsidRPr="005251F3" w:rsidRDefault="00B5447B" w:rsidP="005D4EFE">
            <w:pPr>
              <w:spacing w:before="80" w:line="276" w:lineRule="auto"/>
              <w:jc w:val="both"/>
              <w:rPr>
                <w:rFonts w:ascii="Arial" w:hAnsi="Arial" w:cs="Arial"/>
                <w:sz w:val="20"/>
                <w:szCs w:val="20"/>
              </w:rPr>
            </w:pPr>
            <w:r w:rsidRPr="005251F3">
              <w:rPr>
                <w:rFonts w:ascii="Arial" w:hAnsi="Arial" w:cs="Arial"/>
                <w:sz w:val="20"/>
                <w:szCs w:val="20"/>
              </w:rPr>
              <w:t>Bei der Ver</w:t>
            </w:r>
            <w:r w:rsidR="00647224" w:rsidRPr="005251F3">
              <w:rPr>
                <w:rFonts w:ascii="Arial" w:hAnsi="Arial" w:cs="Arial"/>
                <w:sz w:val="20"/>
                <w:szCs w:val="20"/>
              </w:rPr>
              <w:t xml:space="preserve">einbarung von Zeithonoraren ist </w:t>
            </w:r>
            <w:r w:rsidRPr="005251F3">
              <w:rPr>
                <w:rFonts w:ascii="Arial" w:hAnsi="Arial" w:cs="Arial"/>
                <w:sz w:val="20"/>
                <w:szCs w:val="20"/>
              </w:rPr>
              <w:t>§</w:t>
            </w:r>
            <w:r w:rsidR="00647224" w:rsidRPr="005251F3">
              <w:rPr>
                <w:rFonts w:ascii="Arial" w:hAnsi="Arial" w:cs="Arial"/>
                <w:sz w:val="20"/>
                <w:szCs w:val="20"/>
              </w:rPr>
              <w:t xml:space="preserve"> 10 </w:t>
            </w:r>
            <w:r w:rsidRPr="005251F3">
              <w:rPr>
                <w:rFonts w:ascii="Arial" w:hAnsi="Arial" w:cs="Arial"/>
                <w:sz w:val="20"/>
                <w:szCs w:val="20"/>
              </w:rPr>
              <w:t>Nummer</w:t>
            </w:r>
            <w:r w:rsidR="00647224" w:rsidRPr="005251F3">
              <w:rPr>
                <w:rFonts w:ascii="Arial" w:hAnsi="Arial" w:cs="Arial"/>
                <w:sz w:val="20"/>
                <w:szCs w:val="20"/>
              </w:rPr>
              <w:t xml:space="preserve"> </w:t>
            </w:r>
            <w:r w:rsidRPr="005251F3">
              <w:rPr>
                <w:rFonts w:ascii="Arial" w:hAnsi="Arial" w:cs="Arial"/>
                <w:sz w:val="20"/>
                <w:szCs w:val="20"/>
              </w:rPr>
              <w:t>10.3</w:t>
            </w:r>
            <w:r w:rsidR="00647224" w:rsidRPr="005251F3">
              <w:rPr>
                <w:rFonts w:ascii="Arial" w:hAnsi="Arial" w:cs="Arial"/>
                <w:sz w:val="20"/>
                <w:szCs w:val="20"/>
              </w:rPr>
              <w:t xml:space="preserve"> </w:t>
            </w:r>
            <w:r w:rsidRPr="005251F3">
              <w:rPr>
                <w:rFonts w:ascii="Arial" w:hAnsi="Arial" w:cs="Arial"/>
                <w:sz w:val="20"/>
                <w:szCs w:val="20"/>
              </w:rPr>
              <w:t>AVB zu beachten.</w:t>
            </w:r>
          </w:p>
          <w:p w:rsidR="00F742E2" w:rsidRPr="005251F3" w:rsidRDefault="00F742E2" w:rsidP="005D4EFE">
            <w:pPr>
              <w:spacing w:before="80" w:line="276" w:lineRule="auto"/>
              <w:jc w:val="both"/>
              <w:rPr>
                <w:rFonts w:ascii="Arial" w:hAnsi="Arial" w:cs="Arial"/>
                <w:sz w:val="20"/>
                <w:szCs w:val="20"/>
              </w:rPr>
            </w:pPr>
          </w:p>
        </w:tc>
      </w:tr>
      <w:tr w:rsidR="00A06F74" w:rsidRPr="005251F3" w:rsidTr="00061E91">
        <w:trPr>
          <w:cantSplit/>
        </w:trPr>
        <w:tc>
          <w:tcPr>
            <w:tcW w:w="1668" w:type="dxa"/>
            <w:shd w:val="clear" w:color="auto" w:fill="auto"/>
          </w:tcPr>
          <w:p w:rsidR="00A06F74" w:rsidRPr="005251F3" w:rsidRDefault="007D0A63" w:rsidP="0024100A">
            <w:pPr>
              <w:spacing w:before="80" w:line="276" w:lineRule="auto"/>
              <w:ind w:firstLine="549"/>
              <w:jc w:val="both"/>
              <w:rPr>
                <w:rFonts w:ascii="Arial" w:hAnsi="Arial" w:cs="Arial"/>
                <w:sz w:val="20"/>
                <w:szCs w:val="20"/>
              </w:rPr>
            </w:pPr>
            <w:r w:rsidRPr="005251F3">
              <w:rPr>
                <w:rFonts w:ascii="Arial" w:hAnsi="Arial" w:cs="Arial"/>
                <w:b/>
                <w:sz w:val="20"/>
                <w:szCs w:val="20"/>
              </w:rPr>
              <w:t xml:space="preserve">Zu </w:t>
            </w:r>
            <w:r w:rsidR="008F05F5" w:rsidRPr="005251F3">
              <w:rPr>
                <w:rFonts w:ascii="Arial" w:hAnsi="Arial" w:cs="Arial"/>
                <w:b/>
                <w:sz w:val="20"/>
                <w:szCs w:val="20"/>
              </w:rPr>
              <w:t>10</w:t>
            </w:r>
            <w:r w:rsidR="00DB0BDE" w:rsidRPr="005251F3">
              <w:rPr>
                <w:rFonts w:ascii="Arial" w:hAnsi="Arial" w:cs="Arial"/>
                <w:b/>
                <w:sz w:val="20"/>
                <w:szCs w:val="20"/>
              </w:rPr>
              <w:t>.1</w:t>
            </w:r>
            <w:r w:rsidR="0024100A" w:rsidRPr="005251F3">
              <w:rPr>
                <w:rFonts w:ascii="Arial" w:hAnsi="Arial" w:cs="Arial"/>
                <w:b/>
                <w:sz w:val="20"/>
                <w:szCs w:val="20"/>
              </w:rPr>
              <w:t>1</w:t>
            </w:r>
          </w:p>
        </w:tc>
        <w:tc>
          <w:tcPr>
            <w:tcW w:w="7546" w:type="dxa"/>
            <w:gridSpan w:val="3"/>
            <w:shd w:val="clear" w:color="auto" w:fill="auto"/>
          </w:tcPr>
          <w:p w:rsidR="007D0A63" w:rsidRPr="005251F3" w:rsidRDefault="007D0A63" w:rsidP="00EC6527">
            <w:pPr>
              <w:spacing w:before="80" w:line="276" w:lineRule="auto"/>
              <w:jc w:val="both"/>
              <w:rPr>
                <w:rFonts w:ascii="Arial" w:hAnsi="Arial" w:cs="Arial"/>
                <w:b/>
                <w:sz w:val="20"/>
                <w:szCs w:val="20"/>
              </w:rPr>
            </w:pPr>
            <w:r w:rsidRPr="005251F3">
              <w:rPr>
                <w:rFonts w:ascii="Arial" w:hAnsi="Arial" w:cs="Arial"/>
                <w:b/>
                <w:sz w:val="20"/>
                <w:szCs w:val="20"/>
              </w:rPr>
              <w:t xml:space="preserve">Sonstige </w:t>
            </w:r>
            <w:r w:rsidR="00E67239" w:rsidRPr="005251F3">
              <w:rPr>
                <w:rFonts w:ascii="Arial" w:hAnsi="Arial" w:cs="Arial"/>
                <w:b/>
                <w:sz w:val="20"/>
                <w:szCs w:val="20"/>
              </w:rPr>
              <w:t xml:space="preserve">/ Weitere </w:t>
            </w:r>
            <w:r w:rsidRPr="005251F3">
              <w:rPr>
                <w:rFonts w:ascii="Arial" w:hAnsi="Arial" w:cs="Arial"/>
                <w:b/>
                <w:sz w:val="20"/>
                <w:szCs w:val="20"/>
              </w:rPr>
              <w:t>Vergütungsregelungen</w:t>
            </w:r>
          </w:p>
          <w:p w:rsidR="00114926" w:rsidRPr="005251F3" w:rsidRDefault="001C0D48" w:rsidP="00647224">
            <w:pPr>
              <w:spacing w:before="80" w:line="276" w:lineRule="auto"/>
              <w:jc w:val="both"/>
              <w:rPr>
                <w:rFonts w:ascii="Arial" w:hAnsi="Arial" w:cs="Arial"/>
                <w:sz w:val="20"/>
                <w:szCs w:val="20"/>
              </w:rPr>
            </w:pPr>
            <w:r w:rsidRPr="005251F3">
              <w:rPr>
                <w:rFonts w:ascii="Arial" w:hAnsi="Arial" w:cs="Arial"/>
                <w:sz w:val="20"/>
                <w:szCs w:val="20"/>
              </w:rPr>
              <w:t>Hier können sonstige</w:t>
            </w:r>
            <w:r w:rsidR="006E3520" w:rsidRPr="005251F3">
              <w:rPr>
                <w:rFonts w:ascii="Arial" w:hAnsi="Arial" w:cs="Arial"/>
                <w:sz w:val="20"/>
                <w:szCs w:val="20"/>
              </w:rPr>
              <w:t>/</w:t>
            </w:r>
            <w:r w:rsidRPr="005251F3">
              <w:rPr>
                <w:rFonts w:ascii="Arial" w:hAnsi="Arial" w:cs="Arial"/>
                <w:sz w:val="20"/>
                <w:szCs w:val="20"/>
              </w:rPr>
              <w:t>weitere Vergütungsre</w:t>
            </w:r>
            <w:r w:rsidR="005D4EFE" w:rsidRPr="005251F3">
              <w:rPr>
                <w:rFonts w:ascii="Arial" w:hAnsi="Arial" w:cs="Arial"/>
                <w:sz w:val="20"/>
                <w:szCs w:val="20"/>
              </w:rPr>
              <w:t>gelungen, wie z.</w:t>
            </w:r>
            <w:r w:rsidR="00F742E2" w:rsidRPr="005251F3">
              <w:rPr>
                <w:rFonts w:ascii="Arial" w:hAnsi="Arial" w:cs="Arial"/>
                <w:sz w:val="20"/>
                <w:szCs w:val="20"/>
              </w:rPr>
              <w:t xml:space="preserve"> </w:t>
            </w:r>
            <w:r w:rsidR="005D4EFE" w:rsidRPr="005251F3">
              <w:rPr>
                <w:rFonts w:ascii="Arial" w:hAnsi="Arial" w:cs="Arial"/>
                <w:sz w:val="20"/>
                <w:szCs w:val="20"/>
              </w:rPr>
              <w:t>B. im Falle des</w:t>
            </w:r>
            <w:r w:rsidR="00647224" w:rsidRPr="005251F3">
              <w:rPr>
                <w:rFonts w:ascii="Arial" w:hAnsi="Arial" w:cs="Arial"/>
                <w:sz w:val="20"/>
                <w:szCs w:val="20"/>
              </w:rPr>
              <w:t xml:space="preserve"> </w:t>
            </w:r>
            <w:r w:rsidRPr="005251F3">
              <w:rPr>
                <w:rFonts w:ascii="Arial" w:hAnsi="Arial" w:cs="Arial"/>
                <w:sz w:val="20"/>
                <w:szCs w:val="20"/>
              </w:rPr>
              <w:t>§</w:t>
            </w:r>
            <w:r w:rsidR="005D4EFE" w:rsidRPr="005251F3">
              <w:rPr>
                <w:rFonts w:ascii="Arial" w:hAnsi="Arial" w:cs="Arial"/>
                <w:sz w:val="20"/>
                <w:szCs w:val="20"/>
              </w:rPr>
              <w:t> </w:t>
            </w:r>
            <w:r w:rsidRPr="005251F3">
              <w:rPr>
                <w:rFonts w:ascii="Arial" w:hAnsi="Arial" w:cs="Arial"/>
                <w:sz w:val="20"/>
                <w:szCs w:val="20"/>
              </w:rPr>
              <w:t>8</w:t>
            </w:r>
            <w:r w:rsidR="00647224" w:rsidRPr="005251F3">
              <w:rPr>
                <w:rFonts w:ascii="Arial" w:hAnsi="Arial" w:cs="Arial"/>
                <w:sz w:val="20"/>
                <w:szCs w:val="20"/>
              </w:rPr>
              <w:t xml:space="preserve"> </w:t>
            </w:r>
            <w:r w:rsidR="006E3520" w:rsidRPr="005251F3">
              <w:rPr>
                <w:rFonts w:ascii="Arial" w:hAnsi="Arial" w:cs="Arial"/>
                <w:sz w:val="20"/>
                <w:szCs w:val="20"/>
              </w:rPr>
              <w:t>Abs</w:t>
            </w:r>
            <w:r w:rsidR="005D4EFE" w:rsidRPr="005251F3">
              <w:rPr>
                <w:rFonts w:ascii="Arial" w:hAnsi="Arial" w:cs="Arial"/>
                <w:sz w:val="20"/>
                <w:szCs w:val="20"/>
              </w:rPr>
              <w:t>.</w:t>
            </w:r>
            <w:r w:rsidR="00647224" w:rsidRPr="005251F3">
              <w:rPr>
                <w:rFonts w:ascii="Arial" w:hAnsi="Arial" w:cs="Arial"/>
                <w:sz w:val="20"/>
                <w:szCs w:val="20"/>
              </w:rPr>
              <w:t xml:space="preserve"> </w:t>
            </w:r>
            <w:r w:rsidR="006E3520" w:rsidRPr="005251F3">
              <w:rPr>
                <w:rFonts w:ascii="Arial" w:hAnsi="Arial" w:cs="Arial"/>
                <w:sz w:val="20"/>
                <w:szCs w:val="20"/>
              </w:rPr>
              <w:t>3</w:t>
            </w:r>
            <w:r w:rsidR="00647224" w:rsidRPr="005251F3">
              <w:rPr>
                <w:rFonts w:ascii="Arial" w:hAnsi="Arial" w:cs="Arial"/>
                <w:sz w:val="20"/>
                <w:szCs w:val="20"/>
              </w:rPr>
              <w:t xml:space="preserve"> </w:t>
            </w:r>
            <w:r w:rsidRPr="005251F3">
              <w:rPr>
                <w:rFonts w:ascii="Arial" w:hAnsi="Arial" w:cs="Arial"/>
                <w:sz w:val="20"/>
                <w:szCs w:val="20"/>
              </w:rPr>
              <w:t>HOAI, aufgenommen werden.</w:t>
            </w:r>
          </w:p>
        </w:tc>
      </w:tr>
      <w:tr w:rsidR="00AC0535" w:rsidRPr="005251F3" w:rsidTr="00061E91">
        <w:trPr>
          <w:cantSplit/>
        </w:trPr>
        <w:tc>
          <w:tcPr>
            <w:tcW w:w="1668" w:type="dxa"/>
            <w:shd w:val="clear" w:color="auto" w:fill="auto"/>
          </w:tcPr>
          <w:p w:rsidR="00AC0535" w:rsidRPr="005251F3" w:rsidRDefault="00AC0535" w:rsidP="0024100A">
            <w:pPr>
              <w:spacing w:before="80" w:line="276" w:lineRule="auto"/>
              <w:ind w:firstLine="549"/>
              <w:jc w:val="both"/>
              <w:rPr>
                <w:rFonts w:ascii="Arial" w:hAnsi="Arial" w:cs="Arial"/>
                <w:b/>
                <w:sz w:val="20"/>
                <w:szCs w:val="20"/>
              </w:rPr>
            </w:pPr>
          </w:p>
        </w:tc>
        <w:tc>
          <w:tcPr>
            <w:tcW w:w="7546" w:type="dxa"/>
            <w:gridSpan w:val="3"/>
            <w:shd w:val="clear" w:color="auto" w:fill="auto"/>
          </w:tcPr>
          <w:p w:rsidR="00AC0535" w:rsidRPr="005251F3" w:rsidRDefault="00AC0535" w:rsidP="00EC6527">
            <w:pPr>
              <w:spacing w:before="80" w:line="276" w:lineRule="auto"/>
              <w:jc w:val="both"/>
              <w:rPr>
                <w:rFonts w:ascii="Arial" w:hAnsi="Arial" w:cs="Arial"/>
                <w:b/>
                <w:sz w:val="20"/>
                <w:szCs w:val="20"/>
              </w:rPr>
            </w:pPr>
          </w:p>
        </w:tc>
      </w:tr>
      <w:tr w:rsidR="00F742E2" w:rsidRPr="005251F3" w:rsidTr="00061E91">
        <w:trPr>
          <w:cantSplit/>
        </w:trPr>
        <w:tc>
          <w:tcPr>
            <w:tcW w:w="1668" w:type="dxa"/>
            <w:shd w:val="clear" w:color="auto" w:fill="auto"/>
          </w:tcPr>
          <w:p w:rsidR="00F742E2" w:rsidRPr="005251F3" w:rsidRDefault="00F742E2">
            <w:pPr>
              <w:spacing w:before="80" w:line="276" w:lineRule="auto"/>
              <w:ind w:firstLine="549"/>
              <w:jc w:val="both"/>
              <w:rPr>
                <w:rFonts w:ascii="Arial" w:hAnsi="Arial" w:cs="Arial"/>
                <w:b/>
                <w:sz w:val="20"/>
                <w:szCs w:val="20"/>
              </w:rPr>
            </w:pPr>
            <w:r w:rsidRPr="005251F3">
              <w:rPr>
                <w:rFonts w:ascii="Arial" w:hAnsi="Arial" w:cs="Arial"/>
                <w:b/>
                <w:sz w:val="20"/>
                <w:szCs w:val="20"/>
              </w:rPr>
              <w:t>Zu 10.12</w:t>
            </w:r>
          </w:p>
        </w:tc>
        <w:tc>
          <w:tcPr>
            <w:tcW w:w="7546" w:type="dxa"/>
            <w:gridSpan w:val="3"/>
            <w:shd w:val="clear" w:color="auto" w:fill="auto"/>
          </w:tcPr>
          <w:p w:rsidR="00F742E2" w:rsidRPr="005251F3" w:rsidRDefault="00F459C8" w:rsidP="00F742E2">
            <w:pPr>
              <w:spacing w:before="80" w:line="276" w:lineRule="auto"/>
              <w:jc w:val="both"/>
              <w:rPr>
                <w:rFonts w:ascii="Arial" w:hAnsi="Arial" w:cs="Arial"/>
                <w:b/>
                <w:sz w:val="20"/>
                <w:szCs w:val="20"/>
              </w:rPr>
            </w:pPr>
            <w:r w:rsidRPr="005251F3">
              <w:rPr>
                <w:rFonts w:ascii="Arial" w:hAnsi="Arial" w:cs="Arial"/>
                <w:b/>
                <w:sz w:val="20"/>
                <w:szCs w:val="20"/>
              </w:rPr>
              <w:t xml:space="preserve">Pauschalierung der </w:t>
            </w:r>
            <w:r w:rsidR="00F742E2" w:rsidRPr="005251F3">
              <w:rPr>
                <w:rFonts w:ascii="Arial" w:hAnsi="Arial" w:cs="Arial"/>
                <w:b/>
                <w:sz w:val="20"/>
                <w:szCs w:val="20"/>
              </w:rPr>
              <w:t>Vergütung</w:t>
            </w:r>
          </w:p>
          <w:p w:rsidR="0042677C" w:rsidRPr="005251F3" w:rsidRDefault="00F742E2" w:rsidP="005251F3">
            <w:pPr>
              <w:spacing w:before="80" w:line="276" w:lineRule="auto"/>
              <w:jc w:val="both"/>
              <w:rPr>
                <w:rFonts w:ascii="Arial" w:hAnsi="Arial" w:cs="Arial"/>
                <w:sz w:val="20"/>
                <w:szCs w:val="20"/>
              </w:rPr>
            </w:pPr>
            <w:r w:rsidRPr="005251F3">
              <w:rPr>
                <w:rFonts w:ascii="Arial" w:hAnsi="Arial" w:cs="Arial"/>
                <w:sz w:val="20"/>
                <w:szCs w:val="20"/>
              </w:rPr>
              <w:t xml:space="preserve">Hier können </w:t>
            </w:r>
            <w:r w:rsidR="00F459C8" w:rsidRPr="005251F3">
              <w:rPr>
                <w:rFonts w:ascii="Arial" w:hAnsi="Arial" w:cs="Arial"/>
                <w:sz w:val="20"/>
                <w:szCs w:val="20"/>
              </w:rPr>
              <w:t xml:space="preserve">Vereinbarungen </w:t>
            </w:r>
            <w:r w:rsidR="0042677C" w:rsidRPr="005251F3">
              <w:rPr>
                <w:rFonts w:ascii="Arial" w:hAnsi="Arial" w:cs="Arial"/>
                <w:sz w:val="20"/>
                <w:szCs w:val="20"/>
              </w:rPr>
              <w:t xml:space="preserve">von </w:t>
            </w:r>
            <w:r w:rsidR="00F459C8" w:rsidRPr="005251F3">
              <w:rPr>
                <w:rFonts w:ascii="Arial" w:hAnsi="Arial" w:cs="Arial"/>
                <w:sz w:val="20"/>
                <w:szCs w:val="20"/>
              </w:rPr>
              <w:t>Festpreis</w:t>
            </w:r>
            <w:r w:rsidR="0042677C" w:rsidRPr="005251F3">
              <w:rPr>
                <w:rFonts w:ascii="Arial" w:hAnsi="Arial" w:cs="Arial"/>
                <w:sz w:val="20"/>
                <w:szCs w:val="20"/>
              </w:rPr>
              <w:t>honoraren</w:t>
            </w:r>
            <w:r w:rsidR="00F459C8" w:rsidRPr="005251F3">
              <w:rPr>
                <w:rFonts w:ascii="Arial" w:hAnsi="Arial" w:cs="Arial"/>
                <w:sz w:val="20"/>
                <w:szCs w:val="20"/>
              </w:rPr>
              <w:t xml:space="preserve"> zum Zeitpunkt des Vertragsschlusses getroffen werden.</w:t>
            </w:r>
            <w:r w:rsidR="0042677C" w:rsidRPr="005251F3">
              <w:rPr>
                <w:rFonts w:ascii="Arial" w:hAnsi="Arial" w:cs="Arial"/>
                <w:sz w:val="20"/>
                <w:szCs w:val="20"/>
              </w:rPr>
              <w:t xml:space="preserve"> Das Festpreishonorar umfasst dabei stets nur die im Vertrag beauftragten Leistungen. Wesentliche Änderungen oder Ergänzungen der vereinbarten Planungs- und Überwachungsziele führen nach den Vorgaben des BGB zu weiteren Honoraransprüchen.</w:t>
            </w:r>
          </w:p>
          <w:p w:rsidR="0042677C" w:rsidRPr="005251F3" w:rsidRDefault="0042677C" w:rsidP="005251F3">
            <w:pPr>
              <w:spacing w:before="80" w:line="276" w:lineRule="auto"/>
              <w:jc w:val="both"/>
              <w:rPr>
                <w:rFonts w:ascii="Arial" w:hAnsi="Arial" w:cs="Arial"/>
                <w:sz w:val="20"/>
                <w:szCs w:val="20"/>
              </w:rPr>
            </w:pPr>
            <w:r w:rsidRPr="005251F3">
              <w:rPr>
                <w:rFonts w:ascii="Arial" w:hAnsi="Arial" w:cs="Arial"/>
                <w:sz w:val="20"/>
                <w:szCs w:val="20"/>
              </w:rPr>
              <w:t>Es ist daher sinnvoll, Regelungen zum Honorar bei Leistungsänderungen bereits bei Auftragserteilung vertraglich zu vereinbaren. Je nach Leistungsgegenstand kann es ggf. auch zweckmäßig sein, für den Fall zusätzlicher oder geänderter Leistungen die HOAI zu vereinbaren.</w:t>
            </w:r>
          </w:p>
          <w:p w:rsidR="0042677C" w:rsidRPr="005251F3" w:rsidRDefault="0042677C" w:rsidP="005251F3">
            <w:pPr>
              <w:spacing w:before="80" w:line="276" w:lineRule="auto"/>
              <w:jc w:val="both"/>
              <w:rPr>
                <w:rFonts w:ascii="Arial" w:hAnsi="Arial" w:cs="Arial"/>
                <w:sz w:val="20"/>
                <w:szCs w:val="20"/>
              </w:rPr>
            </w:pPr>
            <w:r w:rsidRPr="005251F3">
              <w:rPr>
                <w:rFonts w:ascii="Arial" w:hAnsi="Arial" w:cs="Arial"/>
                <w:sz w:val="20"/>
                <w:szCs w:val="20"/>
              </w:rPr>
              <w:t>Zusätzlich kann es notwendig sein, Regelungen für Wiederholungsleistungen zu treffen.</w:t>
            </w:r>
          </w:p>
          <w:p w:rsidR="00F742E2" w:rsidRPr="005251F3" w:rsidRDefault="0042677C">
            <w:pPr>
              <w:spacing w:before="80" w:line="276" w:lineRule="auto"/>
              <w:jc w:val="both"/>
              <w:rPr>
                <w:rFonts w:ascii="Arial" w:hAnsi="Arial" w:cs="Arial"/>
                <w:sz w:val="20"/>
                <w:szCs w:val="20"/>
              </w:rPr>
            </w:pPr>
            <w:r w:rsidRPr="005251F3">
              <w:rPr>
                <w:rFonts w:ascii="Arial" w:hAnsi="Arial" w:cs="Arial"/>
                <w:sz w:val="20"/>
                <w:szCs w:val="20"/>
              </w:rPr>
              <w:t xml:space="preserve">Grundsätzlich ist auch in ggf. geeigneten Fällen immer eine Einzelfallabwägung anzustellen, ob ein Festpreishonorar unter Berücksichtigung der Gesamtumstände im konkreten Fall sinnvoll erscheint. </w:t>
            </w:r>
            <w:r w:rsidR="007C19A3" w:rsidRPr="005251F3">
              <w:rPr>
                <w:rFonts w:ascii="Arial" w:hAnsi="Arial" w:cs="Arial"/>
                <w:sz w:val="20"/>
                <w:szCs w:val="20"/>
              </w:rPr>
              <w:t>S</w:t>
            </w:r>
            <w:r w:rsidRPr="005251F3">
              <w:rPr>
                <w:rFonts w:ascii="Arial" w:hAnsi="Arial" w:cs="Arial"/>
                <w:sz w:val="20"/>
                <w:szCs w:val="20"/>
              </w:rPr>
              <w:t xml:space="preserve">iehe </w:t>
            </w:r>
            <w:r w:rsidR="007C19A3" w:rsidRPr="005251F3">
              <w:rPr>
                <w:rFonts w:ascii="Arial" w:hAnsi="Arial" w:cs="Arial"/>
                <w:sz w:val="20"/>
                <w:szCs w:val="20"/>
              </w:rPr>
              <w:t xml:space="preserve">hierzu </w:t>
            </w:r>
            <w:r w:rsidRPr="005251F3">
              <w:rPr>
                <w:rFonts w:ascii="Arial" w:hAnsi="Arial" w:cs="Arial"/>
                <w:sz w:val="20"/>
                <w:szCs w:val="20"/>
              </w:rPr>
              <w:t xml:space="preserve">auch V.B.1 </w:t>
            </w:r>
            <w:r w:rsidR="007C19A3" w:rsidRPr="005251F3">
              <w:rPr>
                <w:rFonts w:ascii="Arial" w:hAnsi="Arial" w:cs="Arial"/>
                <w:sz w:val="20"/>
                <w:szCs w:val="20"/>
              </w:rPr>
              <w:t>(</w:t>
            </w:r>
            <w:r w:rsidRPr="005251F3">
              <w:rPr>
                <w:rFonts w:ascii="Arial" w:hAnsi="Arial" w:cs="Arial"/>
                <w:sz w:val="20"/>
                <w:szCs w:val="20"/>
              </w:rPr>
              <w:t>Richtlinie Festpreishonorare)</w:t>
            </w:r>
            <w:r w:rsidR="007C19A3" w:rsidRPr="005251F3">
              <w:rPr>
                <w:rFonts w:ascii="Arial" w:hAnsi="Arial" w:cs="Arial"/>
                <w:sz w:val="20"/>
                <w:szCs w:val="20"/>
              </w:rPr>
              <w:t>.</w:t>
            </w:r>
          </w:p>
          <w:p w:rsidR="00F459C8" w:rsidRPr="005251F3" w:rsidRDefault="00F459C8">
            <w:pPr>
              <w:spacing w:before="80" w:line="276" w:lineRule="auto"/>
              <w:jc w:val="both"/>
              <w:rPr>
                <w:rFonts w:ascii="Arial" w:hAnsi="Arial" w:cs="Arial"/>
                <w:b/>
                <w:sz w:val="20"/>
                <w:szCs w:val="20"/>
              </w:rPr>
            </w:pP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r w:rsidRPr="005251F3">
              <w:rPr>
                <w:rFonts w:ascii="Arial" w:hAnsi="Arial" w:cs="Arial"/>
                <w:b/>
                <w:sz w:val="20"/>
                <w:szCs w:val="20"/>
              </w:rPr>
              <w:t>Zu § 11</w:t>
            </w:r>
          </w:p>
          <w:p w:rsidR="00F742E2" w:rsidRPr="005251F3" w:rsidRDefault="00F742E2" w:rsidP="00F742E2">
            <w:pPr>
              <w:spacing w:before="80" w:line="276" w:lineRule="auto"/>
              <w:ind w:firstLine="549"/>
              <w:jc w:val="both"/>
              <w:rPr>
                <w:rFonts w:ascii="Arial" w:hAnsi="Arial" w:cs="Arial"/>
                <w:sz w:val="20"/>
                <w:szCs w:val="20"/>
              </w:rPr>
            </w:pPr>
            <w:r w:rsidRPr="005251F3">
              <w:rPr>
                <w:rFonts w:ascii="Arial" w:hAnsi="Arial" w:cs="Arial"/>
                <w:b/>
                <w:sz w:val="20"/>
                <w:szCs w:val="20"/>
              </w:rPr>
              <w:t>Zu 11.1</w:t>
            </w:r>
          </w:p>
        </w:tc>
        <w:tc>
          <w:tcPr>
            <w:tcW w:w="7546" w:type="dxa"/>
            <w:gridSpan w:val="3"/>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b/>
                <w:sz w:val="20"/>
                <w:szCs w:val="20"/>
              </w:rPr>
              <w:t>Nebenkosten</w:t>
            </w:r>
          </w:p>
          <w:p w:rsidR="00F742E2" w:rsidRPr="005251F3" w:rsidRDefault="003618FA" w:rsidP="00F742E2">
            <w:pPr>
              <w:spacing w:before="80" w:line="276" w:lineRule="auto"/>
              <w:jc w:val="both"/>
              <w:rPr>
                <w:rFonts w:ascii="Arial" w:hAnsi="Arial" w:cs="Arial"/>
                <w:sz w:val="20"/>
                <w:szCs w:val="20"/>
              </w:rPr>
            </w:pPr>
            <w:r w:rsidRPr="005251F3">
              <w:rPr>
                <w:rFonts w:ascii="Arial" w:hAnsi="Arial" w:cs="Arial"/>
                <w:sz w:val="20"/>
                <w:szCs w:val="20"/>
              </w:rPr>
              <w:t xml:space="preserve">Die Erstattung von Nebenkosten ist in der Anlage zu </w:t>
            </w:r>
            <w:r w:rsidRPr="005251F3">
              <w:rPr>
                <w:rFonts w:ascii="Arial" w:hAnsi="Arial" w:cs="Arial"/>
                <w:color w:val="000000"/>
                <w:sz w:val="20"/>
                <w:szCs w:val="20"/>
              </w:rPr>
              <w:t>§§ 8, 10 und 11 (Honorarangebot für …)</w:t>
            </w:r>
            <w:r w:rsidRPr="005251F3">
              <w:rPr>
                <w:rFonts w:ascii="Arial" w:hAnsi="Arial" w:cs="Arial"/>
                <w:sz w:val="20"/>
                <w:szCs w:val="20"/>
              </w:rPr>
              <w:t xml:space="preserve"> festzulegen. </w:t>
            </w:r>
            <w:r w:rsidR="00F742E2" w:rsidRPr="005251F3">
              <w:rPr>
                <w:rFonts w:ascii="Arial" w:hAnsi="Arial" w:cs="Arial"/>
                <w:sz w:val="20"/>
                <w:szCs w:val="20"/>
              </w:rPr>
              <w:t xml:space="preserve">Die Vereinbarung einer Pauschale ist grundsätzlich anzustreben; die ihr zu Grunde gelegten Einzelansätze sind verwaltungsintern </w:t>
            </w:r>
            <w:r w:rsidR="007C19A3" w:rsidRPr="005251F3">
              <w:rPr>
                <w:rFonts w:ascii="Arial" w:hAnsi="Arial" w:cs="Arial"/>
                <w:sz w:val="20"/>
                <w:szCs w:val="20"/>
              </w:rPr>
              <w:t xml:space="preserve">zu dokumentieren. </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ind w:firstLine="549"/>
              <w:jc w:val="both"/>
              <w:rPr>
                <w:rFonts w:ascii="Arial" w:hAnsi="Arial" w:cs="Arial"/>
                <w:b/>
                <w:color w:val="000000"/>
                <w:sz w:val="20"/>
                <w:szCs w:val="20"/>
              </w:rPr>
            </w:pPr>
            <w:r w:rsidRPr="005251F3">
              <w:rPr>
                <w:rFonts w:ascii="Arial" w:hAnsi="Arial" w:cs="Arial"/>
                <w:b/>
                <w:sz w:val="20"/>
                <w:szCs w:val="20"/>
              </w:rPr>
              <w:t>Zu 11.4</w:t>
            </w:r>
          </w:p>
        </w:tc>
        <w:tc>
          <w:tcPr>
            <w:tcW w:w="7546" w:type="dxa"/>
            <w:gridSpan w:val="3"/>
            <w:shd w:val="clear" w:color="auto" w:fill="auto"/>
          </w:tcPr>
          <w:p w:rsidR="00F742E2" w:rsidRPr="005251F3" w:rsidRDefault="00F742E2" w:rsidP="00F742E2">
            <w:pPr>
              <w:spacing w:before="80" w:line="276" w:lineRule="auto"/>
              <w:jc w:val="both"/>
              <w:rPr>
                <w:rFonts w:ascii="Arial" w:hAnsi="Arial" w:cs="Arial"/>
                <w:b/>
                <w:sz w:val="20"/>
                <w:szCs w:val="20"/>
              </w:rPr>
            </w:pPr>
            <w:r w:rsidRPr="005251F3">
              <w:rPr>
                <w:rFonts w:ascii="Arial" w:hAnsi="Arial" w:cs="Arial"/>
                <w:b/>
                <w:sz w:val="20"/>
                <w:szCs w:val="20"/>
              </w:rPr>
              <w:t>Baumaßnahmen im Ausland</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color w:val="000000"/>
                <w:sz w:val="20"/>
                <w:szCs w:val="20"/>
              </w:rPr>
            </w:pPr>
          </w:p>
        </w:tc>
        <w:tc>
          <w:tcPr>
            <w:tcW w:w="7546" w:type="dxa"/>
            <w:gridSpan w:val="3"/>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sz w:val="20"/>
                <w:szCs w:val="20"/>
              </w:rPr>
              <w:t>Bei Baumaßnahmen im Ausland oder, wenn ausländische Architekten in der Bundesrepublik arbeiten, sind folgende, die Nebenkosten betreffende Regelungen zu vereinbaren:</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7546" w:type="dxa"/>
            <w:gridSpan w:val="3"/>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b/>
                <w:color w:val="000000"/>
                <w:sz w:val="20"/>
                <w:szCs w:val="20"/>
              </w:rPr>
              <w:fldChar w:fldCharType="begin">
                <w:ffData>
                  <w:name w:val=""/>
                  <w:enabled/>
                  <w:calcOnExit w:val="0"/>
                  <w:checkBox>
                    <w:sizeAuto/>
                    <w:default w:val="0"/>
                  </w:checkBox>
                </w:ffData>
              </w:fldChar>
            </w:r>
            <w:r w:rsidRPr="005251F3">
              <w:rPr>
                <w:rFonts w:ascii="Arial" w:hAnsi="Arial" w:cs="Arial"/>
                <w:b/>
                <w:color w:val="000000"/>
                <w:sz w:val="20"/>
                <w:szCs w:val="20"/>
              </w:rPr>
              <w:instrText xml:space="preserve"> FORMCHECKBOX </w:instrText>
            </w:r>
            <w:r w:rsidR="000514A5">
              <w:rPr>
                <w:rFonts w:ascii="Arial" w:hAnsi="Arial" w:cs="Arial"/>
                <w:b/>
                <w:color w:val="000000"/>
                <w:sz w:val="20"/>
                <w:szCs w:val="20"/>
              </w:rPr>
            </w:r>
            <w:r w:rsidR="000514A5">
              <w:rPr>
                <w:rFonts w:ascii="Arial" w:hAnsi="Arial" w:cs="Arial"/>
                <w:b/>
                <w:color w:val="000000"/>
                <w:sz w:val="20"/>
                <w:szCs w:val="20"/>
              </w:rPr>
              <w:fldChar w:fldCharType="separate"/>
            </w:r>
            <w:r w:rsidRPr="005251F3">
              <w:rPr>
                <w:rFonts w:ascii="Arial" w:hAnsi="Arial" w:cs="Arial"/>
                <w:b/>
                <w:color w:val="000000"/>
                <w:sz w:val="20"/>
                <w:szCs w:val="20"/>
              </w:rPr>
              <w:fldChar w:fldCharType="end"/>
            </w:r>
            <w:r w:rsidRPr="005251F3">
              <w:rPr>
                <w:rFonts w:ascii="Arial" w:hAnsi="Arial" w:cs="Arial"/>
                <w:b/>
                <w:color w:val="000000"/>
                <w:sz w:val="20"/>
                <w:szCs w:val="20"/>
              </w:rPr>
              <w:t xml:space="preserve"> </w:t>
            </w:r>
            <w:r w:rsidRPr="005251F3">
              <w:rPr>
                <w:rFonts w:ascii="Arial" w:hAnsi="Arial" w:cs="Arial"/>
                <w:color w:val="000000"/>
                <w:sz w:val="20"/>
                <w:szCs w:val="20"/>
              </w:rPr>
              <w:t>Für eine ständige örtliche Abwesenheit außerhalb des Geschäftssitzes am ausländischen Ort des Baustellenbüros erhält der Auftragnehmer:</w:t>
            </w:r>
          </w:p>
        </w:tc>
      </w:tr>
      <w:tr w:rsidR="00F742E2" w:rsidRPr="005251F3" w:rsidTr="00061E91">
        <w:trPr>
          <w:cantSplit/>
        </w:trPr>
        <w:tc>
          <w:tcPr>
            <w:tcW w:w="1668" w:type="dxa"/>
            <w:shd w:val="clear" w:color="auto" w:fill="auto"/>
          </w:tcPr>
          <w:p w:rsidR="00F742E2" w:rsidRPr="005251F3" w:rsidRDefault="00F742E2" w:rsidP="00F742E2">
            <w:pPr>
              <w:spacing w:before="40" w:line="276" w:lineRule="auto"/>
              <w:jc w:val="both"/>
              <w:rPr>
                <w:rFonts w:ascii="Arial" w:hAnsi="Arial" w:cs="Arial"/>
                <w:b/>
                <w:sz w:val="20"/>
                <w:szCs w:val="20"/>
              </w:rPr>
            </w:pPr>
          </w:p>
        </w:tc>
        <w:tc>
          <w:tcPr>
            <w:tcW w:w="360" w:type="dxa"/>
            <w:gridSpan w:val="2"/>
            <w:shd w:val="clear" w:color="auto" w:fill="auto"/>
          </w:tcPr>
          <w:p w:rsidR="00F742E2" w:rsidRPr="005251F3" w:rsidRDefault="00F742E2" w:rsidP="00F742E2">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F742E2" w:rsidRPr="005251F3" w:rsidRDefault="00F742E2" w:rsidP="00F742E2">
            <w:pPr>
              <w:spacing w:before="40" w:line="276" w:lineRule="auto"/>
              <w:jc w:val="both"/>
              <w:rPr>
                <w:rFonts w:ascii="Arial" w:hAnsi="Arial" w:cs="Arial"/>
                <w:sz w:val="20"/>
                <w:szCs w:val="20"/>
              </w:rPr>
            </w:pPr>
            <w:r w:rsidRPr="005251F3">
              <w:rPr>
                <w:rFonts w:ascii="Arial" w:hAnsi="Arial" w:cs="Arial"/>
                <w:color w:val="000000"/>
                <w:sz w:val="20"/>
                <w:szCs w:val="20"/>
              </w:rPr>
              <w:t>vom 1. bis 14. Aufenthaltstag Tage- und Übernachtungsgeld sowie Wegstreckenentschädigung  nach dem Bundesreisekostengesetz</w:t>
            </w:r>
          </w:p>
        </w:tc>
      </w:tr>
      <w:tr w:rsidR="00F742E2" w:rsidRPr="005251F3" w:rsidTr="00061E91">
        <w:trPr>
          <w:cantSplit/>
        </w:trPr>
        <w:tc>
          <w:tcPr>
            <w:tcW w:w="1668" w:type="dxa"/>
            <w:shd w:val="clear" w:color="auto" w:fill="auto"/>
          </w:tcPr>
          <w:p w:rsidR="00F742E2" w:rsidRPr="005251F3" w:rsidRDefault="00F742E2" w:rsidP="00F742E2">
            <w:pPr>
              <w:spacing w:before="40" w:line="276" w:lineRule="auto"/>
              <w:jc w:val="both"/>
              <w:rPr>
                <w:rFonts w:ascii="Arial" w:hAnsi="Arial" w:cs="Arial"/>
                <w:b/>
                <w:sz w:val="20"/>
                <w:szCs w:val="20"/>
              </w:rPr>
            </w:pPr>
          </w:p>
        </w:tc>
        <w:tc>
          <w:tcPr>
            <w:tcW w:w="360" w:type="dxa"/>
            <w:gridSpan w:val="2"/>
            <w:shd w:val="clear" w:color="auto" w:fill="auto"/>
          </w:tcPr>
          <w:p w:rsidR="00F742E2" w:rsidRPr="005251F3" w:rsidRDefault="00F742E2" w:rsidP="00F742E2">
            <w:pPr>
              <w:spacing w:before="40" w:line="276" w:lineRule="auto"/>
              <w:jc w:val="both"/>
              <w:rPr>
                <w:rFonts w:ascii="Arial" w:hAnsi="Arial" w:cs="Arial"/>
                <w:sz w:val="20"/>
                <w:szCs w:val="20"/>
              </w:rPr>
            </w:pPr>
            <w:r w:rsidRPr="005251F3">
              <w:rPr>
                <w:rFonts w:ascii="Arial" w:hAnsi="Arial" w:cs="Arial"/>
                <w:sz w:val="20"/>
                <w:szCs w:val="20"/>
              </w:rPr>
              <w:t>-</w:t>
            </w:r>
          </w:p>
        </w:tc>
        <w:tc>
          <w:tcPr>
            <w:tcW w:w="7186" w:type="dxa"/>
            <w:shd w:val="clear" w:color="auto" w:fill="auto"/>
          </w:tcPr>
          <w:p w:rsidR="00F742E2" w:rsidRPr="005251F3" w:rsidRDefault="00F742E2" w:rsidP="00F742E2">
            <w:pPr>
              <w:spacing w:before="40" w:line="276" w:lineRule="auto"/>
              <w:jc w:val="both"/>
              <w:rPr>
                <w:rFonts w:ascii="Arial" w:hAnsi="Arial" w:cs="Arial"/>
                <w:sz w:val="20"/>
                <w:szCs w:val="20"/>
              </w:rPr>
            </w:pPr>
            <w:r w:rsidRPr="005251F3">
              <w:rPr>
                <w:rFonts w:ascii="Arial" w:hAnsi="Arial" w:cs="Arial"/>
                <w:color w:val="000000"/>
                <w:sz w:val="20"/>
                <w:szCs w:val="20"/>
              </w:rPr>
              <w:t>ab dem 15. Aufenthaltstag Trennungsentschädigung</w:t>
            </w:r>
          </w:p>
        </w:tc>
      </w:tr>
      <w:tr w:rsidR="00F742E2" w:rsidRPr="005251F3" w:rsidTr="00061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668" w:type="dxa"/>
            <w:tcBorders>
              <w:top w:val="nil"/>
              <w:left w:val="nil"/>
              <w:bottom w:val="nil"/>
              <w:right w:val="nil"/>
            </w:tcBorders>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360" w:type="dxa"/>
            <w:gridSpan w:val="2"/>
            <w:tcBorders>
              <w:top w:val="nil"/>
              <w:left w:val="nil"/>
              <w:bottom w:val="nil"/>
              <w:right w:val="nil"/>
            </w:tcBorders>
            <w:shd w:val="clear" w:color="auto" w:fill="auto"/>
          </w:tcPr>
          <w:p w:rsidR="00F742E2" w:rsidRPr="005251F3" w:rsidRDefault="00F742E2" w:rsidP="00F742E2">
            <w:pPr>
              <w:spacing w:before="80" w:line="276" w:lineRule="auto"/>
              <w:jc w:val="both"/>
              <w:rPr>
                <w:rFonts w:ascii="Arial" w:hAnsi="Arial" w:cs="Arial"/>
                <w:sz w:val="20"/>
                <w:szCs w:val="20"/>
              </w:rPr>
            </w:pPr>
          </w:p>
        </w:tc>
        <w:tc>
          <w:tcPr>
            <w:tcW w:w="7186" w:type="dxa"/>
            <w:tcBorders>
              <w:top w:val="nil"/>
              <w:left w:val="nil"/>
              <w:bottom w:val="nil"/>
              <w:right w:val="nil"/>
            </w:tcBorders>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b/>
                <w:color w:val="000000"/>
                <w:sz w:val="20"/>
                <w:szCs w:val="20"/>
              </w:rPr>
              <w:fldChar w:fldCharType="begin">
                <w:ffData>
                  <w:name w:val=""/>
                  <w:enabled/>
                  <w:calcOnExit w:val="0"/>
                  <w:checkBox>
                    <w:sizeAuto/>
                    <w:default w:val="0"/>
                  </w:checkBox>
                </w:ffData>
              </w:fldChar>
            </w:r>
            <w:r w:rsidRPr="005251F3">
              <w:rPr>
                <w:rFonts w:ascii="Arial" w:hAnsi="Arial" w:cs="Arial"/>
                <w:b/>
                <w:color w:val="000000"/>
                <w:sz w:val="20"/>
                <w:szCs w:val="20"/>
              </w:rPr>
              <w:instrText xml:space="preserve"> FORMCHECKBOX </w:instrText>
            </w:r>
            <w:r w:rsidR="000514A5">
              <w:rPr>
                <w:rFonts w:ascii="Arial" w:hAnsi="Arial" w:cs="Arial"/>
                <w:b/>
                <w:color w:val="000000"/>
                <w:sz w:val="20"/>
                <w:szCs w:val="20"/>
              </w:rPr>
            </w:r>
            <w:r w:rsidR="000514A5">
              <w:rPr>
                <w:rFonts w:ascii="Arial" w:hAnsi="Arial" w:cs="Arial"/>
                <w:b/>
                <w:color w:val="000000"/>
                <w:sz w:val="20"/>
                <w:szCs w:val="20"/>
              </w:rPr>
              <w:fldChar w:fldCharType="separate"/>
            </w:r>
            <w:r w:rsidRPr="005251F3">
              <w:rPr>
                <w:rFonts w:ascii="Arial" w:hAnsi="Arial" w:cs="Arial"/>
                <w:b/>
                <w:color w:val="000000"/>
                <w:sz w:val="20"/>
                <w:szCs w:val="20"/>
              </w:rPr>
              <w:fldChar w:fldCharType="end"/>
            </w:r>
            <w:r w:rsidRPr="005251F3">
              <w:rPr>
                <w:rFonts w:ascii="Arial" w:hAnsi="Arial" w:cs="Arial"/>
                <w:b/>
                <w:color w:val="000000"/>
                <w:sz w:val="20"/>
                <w:szCs w:val="20"/>
              </w:rPr>
              <w:t xml:space="preserve">  </w:t>
            </w:r>
            <w:r w:rsidRPr="005251F3">
              <w:rPr>
                <w:rFonts w:ascii="Arial" w:hAnsi="Arial" w:cs="Arial"/>
                <w:color w:val="000000"/>
                <w:sz w:val="20"/>
                <w:szCs w:val="20"/>
              </w:rPr>
              <w:t>gemäß dem jeweils gültigen Rahmentarifvertrag des Baugewerbes (Auslösung)</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360" w:type="dxa"/>
            <w:gridSpan w:val="2"/>
            <w:shd w:val="clear" w:color="auto" w:fill="auto"/>
          </w:tcPr>
          <w:p w:rsidR="00F742E2" w:rsidRPr="005251F3" w:rsidRDefault="00F742E2" w:rsidP="00F742E2">
            <w:pPr>
              <w:spacing w:before="80" w:line="276" w:lineRule="auto"/>
              <w:jc w:val="both"/>
              <w:rPr>
                <w:rFonts w:ascii="Arial" w:hAnsi="Arial" w:cs="Arial"/>
                <w:sz w:val="20"/>
                <w:szCs w:val="20"/>
              </w:rPr>
            </w:pPr>
          </w:p>
        </w:tc>
        <w:tc>
          <w:tcPr>
            <w:tcW w:w="7186" w:type="dxa"/>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b/>
                <w:color w:val="000000"/>
                <w:sz w:val="20"/>
                <w:szCs w:val="20"/>
              </w:rPr>
              <w:fldChar w:fldCharType="begin">
                <w:ffData>
                  <w:name w:val=""/>
                  <w:enabled/>
                  <w:calcOnExit w:val="0"/>
                  <w:checkBox>
                    <w:sizeAuto/>
                    <w:default w:val="0"/>
                  </w:checkBox>
                </w:ffData>
              </w:fldChar>
            </w:r>
            <w:r w:rsidRPr="005251F3">
              <w:rPr>
                <w:rFonts w:ascii="Arial" w:hAnsi="Arial" w:cs="Arial"/>
                <w:b/>
                <w:color w:val="000000"/>
                <w:sz w:val="20"/>
                <w:szCs w:val="20"/>
              </w:rPr>
              <w:instrText xml:space="preserve"> FORMCHECKBOX </w:instrText>
            </w:r>
            <w:r w:rsidR="000514A5">
              <w:rPr>
                <w:rFonts w:ascii="Arial" w:hAnsi="Arial" w:cs="Arial"/>
                <w:b/>
                <w:color w:val="000000"/>
                <w:sz w:val="20"/>
                <w:szCs w:val="20"/>
              </w:rPr>
            </w:r>
            <w:r w:rsidR="000514A5">
              <w:rPr>
                <w:rFonts w:ascii="Arial" w:hAnsi="Arial" w:cs="Arial"/>
                <w:b/>
                <w:color w:val="000000"/>
                <w:sz w:val="20"/>
                <w:szCs w:val="20"/>
              </w:rPr>
              <w:fldChar w:fldCharType="separate"/>
            </w:r>
            <w:r w:rsidRPr="005251F3">
              <w:rPr>
                <w:rFonts w:ascii="Arial" w:hAnsi="Arial" w:cs="Arial"/>
                <w:b/>
                <w:color w:val="000000"/>
                <w:sz w:val="20"/>
                <w:szCs w:val="20"/>
              </w:rPr>
              <w:fldChar w:fldCharType="end"/>
            </w:r>
            <w:r w:rsidRPr="005251F3">
              <w:rPr>
                <w:rFonts w:ascii="Arial" w:hAnsi="Arial" w:cs="Arial"/>
                <w:b/>
                <w:color w:val="000000"/>
                <w:sz w:val="20"/>
                <w:szCs w:val="20"/>
              </w:rPr>
              <w:t xml:space="preserve">  </w:t>
            </w:r>
            <w:r w:rsidRPr="005251F3">
              <w:rPr>
                <w:rFonts w:ascii="Arial" w:hAnsi="Arial" w:cs="Arial"/>
                <w:color w:val="000000"/>
                <w:sz w:val="20"/>
                <w:szCs w:val="20"/>
              </w:rPr>
              <w:t>gemäß Verordnung Reisekostenentschädigung bei Auslandsreisen</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color w:val="000000"/>
                <w:sz w:val="20"/>
                <w:szCs w:val="20"/>
              </w:rPr>
            </w:pPr>
          </w:p>
        </w:tc>
        <w:tc>
          <w:tcPr>
            <w:tcW w:w="7546" w:type="dxa"/>
            <w:gridSpan w:val="3"/>
            <w:shd w:val="clear" w:color="auto" w:fill="auto"/>
          </w:tcPr>
          <w:p w:rsidR="00F742E2" w:rsidRPr="005251F3" w:rsidRDefault="00F742E2" w:rsidP="00F742E2">
            <w:pPr>
              <w:spacing w:before="80" w:line="276" w:lineRule="auto"/>
              <w:jc w:val="both"/>
              <w:rPr>
                <w:rFonts w:ascii="Arial" w:hAnsi="Arial" w:cs="Arial"/>
                <w:color w:val="000000"/>
                <w:sz w:val="20"/>
                <w:szCs w:val="20"/>
              </w:rPr>
            </w:pPr>
            <w:r w:rsidRPr="005251F3">
              <w:rPr>
                <w:rFonts w:ascii="Arial" w:hAnsi="Arial" w:cs="Arial"/>
                <w:color w:val="000000"/>
                <w:sz w:val="20"/>
                <w:szCs w:val="20"/>
              </w:rPr>
              <w:t>Für Trennungsgeldentschädigungen und Kosten für Familienheimfahrten der Mitarbeiter des Auftragnehmers ist keine Pauschale zu vereinbaren, es sei denn, die Anzahl der Reisen und Aufenthalte kann bei Vertragsabschluss festgelegt werden. Der Pauschalierung sind die vorgenannten Bemessungsregelungen zu Grunde zu legen.</w:t>
            </w:r>
          </w:p>
          <w:p w:rsidR="00F742E2" w:rsidRPr="005251F3" w:rsidRDefault="00F742E2" w:rsidP="00F742E2">
            <w:pPr>
              <w:spacing w:before="80" w:line="276" w:lineRule="auto"/>
              <w:jc w:val="both"/>
              <w:rPr>
                <w:rFonts w:ascii="Arial" w:hAnsi="Arial" w:cs="Arial"/>
                <w:color w:val="000000"/>
                <w:sz w:val="20"/>
                <w:szCs w:val="20"/>
              </w:rPr>
            </w:pPr>
            <w:r w:rsidRPr="005251F3">
              <w:rPr>
                <w:rFonts w:ascii="Arial" w:hAnsi="Arial" w:cs="Arial"/>
                <w:color w:val="000000"/>
                <w:sz w:val="20"/>
                <w:szCs w:val="20"/>
              </w:rPr>
              <w:t>Hierbei ist zu beachten, dass die Anzahl der Reisen und Aufenthalte am Erfüllungsort so ausreichend bemessen werden, dass die beauftragten Leistungen ordnungsgemäß erfüllt werden können.</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color w:val="000000"/>
                <w:sz w:val="20"/>
                <w:szCs w:val="20"/>
              </w:rPr>
            </w:pPr>
          </w:p>
        </w:tc>
        <w:tc>
          <w:tcPr>
            <w:tcW w:w="7546" w:type="dxa"/>
            <w:gridSpan w:val="3"/>
            <w:shd w:val="clear" w:color="auto" w:fill="auto"/>
          </w:tcPr>
          <w:p w:rsidR="00F742E2" w:rsidRPr="005251F3" w:rsidRDefault="00F742E2" w:rsidP="00F742E2">
            <w:pPr>
              <w:spacing w:before="80" w:line="276" w:lineRule="auto"/>
              <w:jc w:val="both"/>
              <w:rPr>
                <w:rFonts w:ascii="Arial" w:hAnsi="Arial" w:cs="Arial"/>
                <w:color w:val="000000"/>
                <w:sz w:val="20"/>
                <w:szCs w:val="20"/>
              </w:rPr>
            </w:pPr>
            <w:r w:rsidRPr="005251F3">
              <w:rPr>
                <w:rFonts w:ascii="Arial" w:hAnsi="Arial" w:cs="Arial"/>
                <w:color w:val="000000"/>
                <w:sz w:val="20"/>
                <w:szCs w:val="20"/>
              </w:rPr>
              <w:t>Soweit Übersetzungsarbeiten anfallen, ist folgender Textbaustein unter Nummer 11.4 einzufügen:</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7546" w:type="dxa"/>
            <w:gridSpan w:val="3"/>
            <w:shd w:val="clear" w:color="auto" w:fill="auto"/>
          </w:tcPr>
          <w:p w:rsidR="00F742E2" w:rsidRPr="005251F3" w:rsidRDefault="00F742E2" w:rsidP="00F742E2">
            <w:pPr>
              <w:tabs>
                <w:tab w:val="left" w:pos="1800"/>
              </w:tabs>
              <w:spacing w:before="120" w:line="276" w:lineRule="auto"/>
              <w:jc w:val="both"/>
              <w:rPr>
                <w:rFonts w:ascii="Arial" w:hAnsi="Arial" w:cs="Arial"/>
                <w:color w:val="000000"/>
                <w:sz w:val="20"/>
                <w:szCs w:val="20"/>
              </w:rPr>
            </w:pPr>
            <w:r w:rsidRPr="005251F3">
              <w:rPr>
                <w:rFonts w:ascii="Arial" w:hAnsi="Arial" w:cs="Arial"/>
                <w:b/>
                <w:color w:val="000000"/>
                <w:sz w:val="20"/>
                <w:szCs w:val="20"/>
              </w:rPr>
              <w:fldChar w:fldCharType="begin">
                <w:ffData>
                  <w:name w:val=""/>
                  <w:enabled/>
                  <w:calcOnExit w:val="0"/>
                  <w:checkBox>
                    <w:sizeAuto/>
                    <w:default w:val="0"/>
                  </w:checkBox>
                </w:ffData>
              </w:fldChar>
            </w:r>
            <w:r w:rsidRPr="005251F3">
              <w:rPr>
                <w:rFonts w:ascii="Arial" w:hAnsi="Arial" w:cs="Arial"/>
                <w:b/>
                <w:color w:val="000000"/>
                <w:sz w:val="20"/>
                <w:szCs w:val="20"/>
              </w:rPr>
              <w:instrText xml:space="preserve"> FORMCHECKBOX </w:instrText>
            </w:r>
            <w:r w:rsidR="000514A5">
              <w:rPr>
                <w:rFonts w:ascii="Arial" w:hAnsi="Arial" w:cs="Arial"/>
                <w:b/>
                <w:color w:val="000000"/>
                <w:sz w:val="20"/>
                <w:szCs w:val="20"/>
              </w:rPr>
            </w:r>
            <w:r w:rsidR="000514A5">
              <w:rPr>
                <w:rFonts w:ascii="Arial" w:hAnsi="Arial" w:cs="Arial"/>
                <w:b/>
                <w:color w:val="000000"/>
                <w:sz w:val="20"/>
                <w:szCs w:val="20"/>
              </w:rPr>
              <w:fldChar w:fldCharType="separate"/>
            </w:r>
            <w:r w:rsidRPr="005251F3">
              <w:rPr>
                <w:rFonts w:ascii="Arial" w:hAnsi="Arial" w:cs="Arial"/>
                <w:b/>
                <w:color w:val="000000"/>
                <w:sz w:val="20"/>
                <w:szCs w:val="20"/>
              </w:rPr>
              <w:fldChar w:fldCharType="end"/>
            </w:r>
            <w:r w:rsidRPr="005251F3">
              <w:rPr>
                <w:rFonts w:ascii="Arial" w:hAnsi="Arial" w:cs="Arial"/>
                <w:b/>
                <w:color w:val="000000"/>
                <w:sz w:val="20"/>
                <w:szCs w:val="20"/>
              </w:rPr>
              <w:t xml:space="preserve"> </w:t>
            </w:r>
            <w:r w:rsidRPr="005251F3">
              <w:rPr>
                <w:rFonts w:ascii="Arial" w:hAnsi="Arial" w:cs="Arial"/>
                <w:color w:val="000000"/>
                <w:sz w:val="20"/>
                <w:szCs w:val="20"/>
              </w:rPr>
              <w:t>Für Übersetzungsarbeiten in und aus dem:</w:t>
            </w:r>
          </w:p>
          <w:p w:rsidR="00F742E2" w:rsidRPr="005251F3" w:rsidRDefault="00F742E2" w:rsidP="00F742E2">
            <w:pPr>
              <w:tabs>
                <w:tab w:val="left" w:pos="317"/>
              </w:tabs>
              <w:spacing w:line="276" w:lineRule="auto"/>
              <w:jc w:val="both"/>
              <w:rPr>
                <w:rFonts w:ascii="Arial" w:hAnsi="Arial" w:cs="Arial"/>
                <w:color w:val="000000"/>
                <w:sz w:val="20"/>
                <w:szCs w:val="20"/>
              </w:rPr>
            </w:pPr>
            <w:r w:rsidRPr="005251F3">
              <w:rPr>
                <w:rFonts w:ascii="Arial" w:hAnsi="Arial" w:cs="Arial"/>
                <w:color w:val="000000"/>
                <w:sz w:val="20"/>
                <w:szCs w:val="20"/>
              </w:rPr>
              <w:tab/>
            </w:r>
            <w:r w:rsidRPr="005251F3">
              <w:rPr>
                <w:rFonts w:ascii="Arial" w:hAnsi="Arial" w:cs="Arial"/>
                <w:color w:val="000000"/>
                <w:sz w:val="20"/>
                <w:szCs w:val="20"/>
              </w:rPr>
              <w:fldChar w:fldCharType="begin">
                <w:ffData>
                  <w:name w:val=""/>
                  <w:enabled/>
                  <w:calcOnExit w:val="0"/>
                  <w:checkBox>
                    <w:sizeAuto/>
                    <w:default w:val="0"/>
                  </w:checkBox>
                </w:ffData>
              </w:fldChar>
            </w:r>
            <w:r w:rsidRPr="005251F3">
              <w:rPr>
                <w:rFonts w:ascii="Arial" w:hAnsi="Arial" w:cs="Arial"/>
                <w:color w:val="000000"/>
                <w:sz w:val="20"/>
                <w:szCs w:val="20"/>
              </w:rPr>
              <w:instrText xml:space="preserve"> FORMCHECKBOX </w:instrText>
            </w:r>
            <w:r w:rsidR="000514A5">
              <w:rPr>
                <w:rFonts w:ascii="Arial" w:hAnsi="Arial" w:cs="Arial"/>
                <w:color w:val="000000"/>
                <w:sz w:val="20"/>
                <w:szCs w:val="20"/>
              </w:rPr>
            </w:r>
            <w:r w:rsidR="000514A5">
              <w:rPr>
                <w:rFonts w:ascii="Arial" w:hAnsi="Arial" w:cs="Arial"/>
                <w:color w:val="000000"/>
                <w:sz w:val="20"/>
                <w:szCs w:val="20"/>
              </w:rPr>
              <w:fldChar w:fldCharType="separate"/>
            </w:r>
            <w:r w:rsidRPr="005251F3">
              <w:rPr>
                <w:rFonts w:ascii="Arial" w:hAnsi="Arial" w:cs="Arial"/>
                <w:color w:val="000000"/>
                <w:sz w:val="20"/>
                <w:szCs w:val="20"/>
              </w:rPr>
              <w:fldChar w:fldCharType="end"/>
            </w:r>
            <w:r w:rsidRPr="005251F3">
              <w:rPr>
                <w:rFonts w:ascii="Arial" w:hAnsi="Arial" w:cs="Arial"/>
                <w:color w:val="000000"/>
                <w:sz w:val="20"/>
                <w:szCs w:val="20"/>
              </w:rPr>
              <w:t xml:space="preserve"> Englischen</w:t>
            </w:r>
          </w:p>
          <w:p w:rsidR="00F742E2" w:rsidRPr="005251F3" w:rsidRDefault="00F742E2" w:rsidP="00F742E2">
            <w:pPr>
              <w:tabs>
                <w:tab w:val="left" w:pos="317"/>
              </w:tabs>
              <w:spacing w:line="276" w:lineRule="auto"/>
              <w:jc w:val="both"/>
              <w:rPr>
                <w:rFonts w:ascii="Arial" w:hAnsi="Arial" w:cs="Arial"/>
                <w:color w:val="000000"/>
                <w:sz w:val="20"/>
                <w:szCs w:val="20"/>
              </w:rPr>
            </w:pPr>
            <w:r w:rsidRPr="005251F3">
              <w:rPr>
                <w:rFonts w:ascii="Arial" w:hAnsi="Arial" w:cs="Arial"/>
                <w:color w:val="000000"/>
                <w:sz w:val="20"/>
                <w:szCs w:val="20"/>
              </w:rPr>
              <w:tab/>
            </w:r>
            <w:r w:rsidRPr="005251F3">
              <w:rPr>
                <w:rFonts w:ascii="Arial" w:hAnsi="Arial" w:cs="Arial"/>
                <w:color w:val="000000"/>
                <w:sz w:val="20"/>
                <w:szCs w:val="20"/>
              </w:rPr>
              <w:fldChar w:fldCharType="begin">
                <w:ffData>
                  <w:name w:val=""/>
                  <w:enabled/>
                  <w:calcOnExit w:val="0"/>
                  <w:checkBox>
                    <w:sizeAuto/>
                    <w:default w:val="0"/>
                  </w:checkBox>
                </w:ffData>
              </w:fldChar>
            </w:r>
            <w:r w:rsidRPr="005251F3">
              <w:rPr>
                <w:rFonts w:ascii="Arial" w:hAnsi="Arial" w:cs="Arial"/>
                <w:color w:val="000000"/>
                <w:sz w:val="20"/>
                <w:szCs w:val="20"/>
              </w:rPr>
              <w:instrText xml:space="preserve"> FORMCHECKBOX </w:instrText>
            </w:r>
            <w:r w:rsidR="000514A5">
              <w:rPr>
                <w:rFonts w:ascii="Arial" w:hAnsi="Arial" w:cs="Arial"/>
                <w:color w:val="000000"/>
                <w:sz w:val="20"/>
                <w:szCs w:val="20"/>
              </w:rPr>
            </w:r>
            <w:r w:rsidR="000514A5">
              <w:rPr>
                <w:rFonts w:ascii="Arial" w:hAnsi="Arial" w:cs="Arial"/>
                <w:color w:val="000000"/>
                <w:sz w:val="20"/>
                <w:szCs w:val="20"/>
              </w:rPr>
              <w:fldChar w:fldCharType="separate"/>
            </w:r>
            <w:r w:rsidRPr="005251F3">
              <w:rPr>
                <w:rFonts w:ascii="Arial" w:hAnsi="Arial" w:cs="Arial"/>
                <w:color w:val="000000"/>
                <w:sz w:val="20"/>
                <w:szCs w:val="20"/>
              </w:rPr>
              <w:fldChar w:fldCharType="end"/>
            </w:r>
            <w:r w:rsidRPr="005251F3">
              <w:rPr>
                <w:rFonts w:ascii="Arial" w:hAnsi="Arial" w:cs="Arial"/>
                <w:color w:val="000000"/>
                <w:sz w:val="20"/>
                <w:szCs w:val="20"/>
              </w:rPr>
              <w:t xml:space="preserve"> Französischen</w:t>
            </w:r>
          </w:p>
          <w:p w:rsidR="00F742E2" w:rsidRPr="005251F3" w:rsidRDefault="00F742E2" w:rsidP="00F742E2">
            <w:pPr>
              <w:tabs>
                <w:tab w:val="left" w:pos="317"/>
              </w:tabs>
              <w:spacing w:line="276" w:lineRule="auto"/>
              <w:jc w:val="both"/>
              <w:rPr>
                <w:rFonts w:ascii="Arial" w:hAnsi="Arial" w:cs="Arial"/>
                <w:color w:val="000000"/>
                <w:sz w:val="20"/>
                <w:szCs w:val="20"/>
              </w:rPr>
            </w:pPr>
            <w:r w:rsidRPr="005251F3">
              <w:rPr>
                <w:rFonts w:ascii="Arial" w:hAnsi="Arial" w:cs="Arial"/>
                <w:color w:val="000000"/>
                <w:sz w:val="20"/>
                <w:szCs w:val="20"/>
              </w:rPr>
              <w:tab/>
            </w:r>
            <w:r w:rsidRPr="005251F3">
              <w:rPr>
                <w:rFonts w:ascii="Arial" w:hAnsi="Arial" w:cs="Arial"/>
                <w:color w:val="000000"/>
                <w:sz w:val="20"/>
                <w:szCs w:val="20"/>
              </w:rPr>
              <w:fldChar w:fldCharType="begin">
                <w:ffData>
                  <w:name w:val=""/>
                  <w:enabled/>
                  <w:calcOnExit w:val="0"/>
                  <w:checkBox>
                    <w:sizeAuto/>
                    <w:default w:val="0"/>
                  </w:checkBox>
                </w:ffData>
              </w:fldChar>
            </w:r>
            <w:r w:rsidRPr="005251F3">
              <w:rPr>
                <w:rFonts w:ascii="Arial" w:hAnsi="Arial" w:cs="Arial"/>
                <w:color w:val="000000"/>
                <w:sz w:val="20"/>
                <w:szCs w:val="20"/>
              </w:rPr>
              <w:instrText xml:space="preserve"> FORMCHECKBOX </w:instrText>
            </w:r>
            <w:r w:rsidR="000514A5">
              <w:rPr>
                <w:rFonts w:ascii="Arial" w:hAnsi="Arial" w:cs="Arial"/>
                <w:color w:val="000000"/>
                <w:sz w:val="20"/>
                <w:szCs w:val="20"/>
              </w:rPr>
            </w:r>
            <w:r w:rsidR="000514A5">
              <w:rPr>
                <w:rFonts w:ascii="Arial" w:hAnsi="Arial" w:cs="Arial"/>
                <w:color w:val="000000"/>
                <w:sz w:val="20"/>
                <w:szCs w:val="20"/>
              </w:rPr>
              <w:fldChar w:fldCharType="separate"/>
            </w:r>
            <w:r w:rsidRPr="005251F3">
              <w:rPr>
                <w:rFonts w:ascii="Arial" w:hAnsi="Arial" w:cs="Arial"/>
                <w:color w:val="000000"/>
                <w:sz w:val="20"/>
                <w:szCs w:val="20"/>
              </w:rPr>
              <w:fldChar w:fldCharType="end"/>
            </w:r>
            <w:r w:rsidRPr="005251F3">
              <w:rPr>
                <w:rFonts w:ascii="Arial" w:hAnsi="Arial" w:cs="Arial"/>
                <w:color w:val="000000"/>
                <w:sz w:val="20"/>
                <w:szCs w:val="20"/>
              </w:rPr>
              <w:t xml:space="preserve"> Spanischen</w:t>
            </w:r>
          </w:p>
          <w:p w:rsidR="00F742E2" w:rsidRPr="005251F3" w:rsidRDefault="00F742E2" w:rsidP="00F742E2">
            <w:pPr>
              <w:tabs>
                <w:tab w:val="left" w:pos="317"/>
              </w:tabs>
              <w:spacing w:line="276" w:lineRule="auto"/>
              <w:jc w:val="both"/>
              <w:rPr>
                <w:rFonts w:ascii="Arial" w:hAnsi="Arial" w:cs="Arial"/>
                <w:color w:val="000000"/>
                <w:sz w:val="20"/>
                <w:szCs w:val="20"/>
              </w:rPr>
            </w:pPr>
            <w:r w:rsidRPr="005251F3">
              <w:rPr>
                <w:rFonts w:ascii="Arial" w:hAnsi="Arial" w:cs="Arial"/>
                <w:color w:val="000000"/>
                <w:sz w:val="20"/>
                <w:szCs w:val="20"/>
              </w:rPr>
              <w:tab/>
            </w:r>
            <w:r w:rsidRPr="005251F3">
              <w:rPr>
                <w:rFonts w:ascii="Arial" w:hAnsi="Arial" w:cs="Arial"/>
                <w:color w:val="000000"/>
                <w:sz w:val="20"/>
                <w:szCs w:val="20"/>
              </w:rPr>
              <w:fldChar w:fldCharType="begin">
                <w:ffData>
                  <w:name w:val=""/>
                  <w:enabled/>
                  <w:calcOnExit w:val="0"/>
                  <w:checkBox>
                    <w:sizeAuto/>
                    <w:default w:val="0"/>
                  </w:checkBox>
                </w:ffData>
              </w:fldChar>
            </w:r>
            <w:r w:rsidRPr="005251F3">
              <w:rPr>
                <w:rFonts w:ascii="Arial" w:hAnsi="Arial" w:cs="Arial"/>
                <w:color w:val="000000"/>
                <w:sz w:val="20"/>
                <w:szCs w:val="20"/>
              </w:rPr>
              <w:instrText xml:space="preserve"> FORMCHECKBOX </w:instrText>
            </w:r>
            <w:r w:rsidR="000514A5">
              <w:rPr>
                <w:rFonts w:ascii="Arial" w:hAnsi="Arial" w:cs="Arial"/>
                <w:color w:val="000000"/>
                <w:sz w:val="20"/>
                <w:szCs w:val="20"/>
              </w:rPr>
            </w:r>
            <w:r w:rsidR="000514A5">
              <w:rPr>
                <w:rFonts w:ascii="Arial" w:hAnsi="Arial" w:cs="Arial"/>
                <w:color w:val="000000"/>
                <w:sz w:val="20"/>
                <w:szCs w:val="20"/>
              </w:rPr>
              <w:fldChar w:fldCharType="separate"/>
            </w:r>
            <w:r w:rsidRPr="005251F3">
              <w:rPr>
                <w:rFonts w:ascii="Arial" w:hAnsi="Arial" w:cs="Arial"/>
                <w:color w:val="000000"/>
                <w:sz w:val="20"/>
                <w:szCs w:val="20"/>
              </w:rPr>
              <w:fldChar w:fldCharType="end"/>
            </w:r>
            <w:r w:rsidRPr="005251F3">
              <w:rPr>
                <w:rFonts w:ascii="Arial" w:hAnsi="Arial" w:cs="Arial"/>
                <w:color w:val="000000"/>
                <w:sz w:val="20"/>
                <w:szCs w:val="20"/>
              </w:rPr>
              <w:t xml:space="preserve"> </w:t>
            </w:r>
            <w:bookmarkStart w:id="0" w:name="Text212"/>
            <w:r w:rsidRPr="005251F3">
              <w:rPr>
                <w:rFonts w:ascii="Arial" w:hAnsi="Arial" w:cs="Arial"/>
                <w:color w:val="000000"/>
                <w:sz w:val="20"/>
                <w:szCs w:val="20"/>
              </w:rPr>
              <w:fldChar w:fldCharType="begin">
                <w:ffData>
                  <w:name w:val="Text212"/>
                  <w:enabled/>
                  <w:calcOnExit w:val="0"/>
                  <w:textInput/>
                </w:ffData>
              </w:fldChar>
            </w:r>
            <w:r w:rsidRPr="005251F3">
              <w:rPr>
                <w:rFonts w:ascii="Arial" w:hAnsi="Arial" w:cs="Arial"/>
                <w:color w:val="000000"/>
                <w:sz w:val="20"/>
                <w:szCs w:val="20"/>
              </w:rPr>
              <w:instrText xml:space="preserve"> FORMTEXT </w:instrText>
            </w:r>
            <w:r w:rsidRPr="005251F3">
              <w:rPr>
                <w:rFonts w:ascii="Arial" w:hAnsi="Arial" w:cs="Arial"/>
                <w:color w:val="000000"/>
                <w:sz w:val="20"/>
                <w:szCs w:val="20"/>
              </w:rPr>
            </w:r>
            <w:r w:rsidRPr="005251F3">
              <w:rPr>
                <w:rFonts w:ascii="Arial" w:hAnsi="Arial" w:cs="Arial"/>
                <w:color w:val="000000"/>
                <w:sz w:val="20"/>
                <w:szCs w:val="20"/>
              </w:rPr>
              <w:fldChar w:fldCharType="separate"/>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color w:val="000000"/>
                <w:sz w:val="20"/>
                <w:szCs w:val="20"/>
              </w:rPr>
              <w:fldChar w:fldCharType="end"/>
            </w:r>
            <w:bookmarkEnd w:id="0"/>
          </w:p>
          <w:p w:rsidR="00F742E2" w:rsidRPr="005251F3" w:rsidRDefault="00F742E2" w:rsidP="00F742E2">
            <w:pPr>
              <w:tabs>
                <w:tab w:val="left" w:pos="317"/>
              </w:tabs>
              <w:spacing w:line="276" w:lineRule="auto"/>
              <w:jc w:val="both"/>
              <w:rPr>
                <w:rFonts w:ascii="Arial" w:hAnsi="Arial" w:cs="Arial"/>
                <w:color w:val="000000"/>
                <w:sz w:val="20"/>
                <w:szCs w:val="20"/>
              </w:rPr>
            </w:pPr>
            <w:r w:rsidRPr="005251F3">
              <w:rPr>
                <w:rFonts w:ascii="Arial" w:hAnsi="Arial" w:cs="Arial"/>
                <w:color w:val="000000"/>
                <w:sz w:val="20"/>
                <w:szCs w:val="20"/>
              </w:rPr>
              <w:tab/>
            </w:r>
            <w:r w:rsidRPr="005251F3">
              <w:rPr>
                <w:rFonts w:ascii="Arial" w:hAnsi="Arial" w:cs="Arial"/>
                <w:color w:val="000000"/>
                <w:sz w:val="20"/>
                <w:szCs w:val="20"/>
              </w:rPr>
              <w:fldChar w:fldCharType="begin">
                <w:ffData>
                  <w:name w:val=""/>
                  <w:enabled/>
                  <w:calcOnExit w:val="0"/>
                  <w:checkBox>
                    <w:sizeAuto/>
                    <w:default w:val="0"/>
                  </w:checkBox>
                </w:ffData>
              </w:fldChar>
            </w:r>
            <w:r w:rsidRPr="005251F3">
              <w:rPr>
                <w:rFonts w:ascii="Arial" w:hAnsi="Arial" w:cs="Arial"/>
                <w:color w:val="000000"/>
                <w:sz w:val="20"/>
                <w:szCs w:val="20"/>
              </w:rPr>
              <w:instrText xml:space="preserve"> FORMCHECKBOX </w:instrText>
            </w:r>
            <w:r w:rsidR="000514A5">
              <w:rPr>
                <w:rFonts w:ascii="Arial" w:hAnsi="Arial" w:cs="Arial"/>
                <w:color w:val="000000"/>
                <w:sz w:val="20"/>
                <w:szCs w:val="20"/>
              </w:rPr>
            </w:r>
            <w:r w:rsidR="000514A5">
              <w:rPr>
                <w:rFonts w:ascii="Arial" w:hAnsi="Arial" w:cs="Arial"/>
                <w:color w:val="000000"/>
                <w:sz w:val="20"/>
                <w:szCs w:val="20"/>
              </w:rPr>
              <w:fldChar w:fldCharType="separate"/>
            </w:r>
            <w:r w:rsidRPr="005251F3">
              <w:rPr>
                <w:rFonts w:ascii="Arial" w:hAnsi="Arial" w:cs="Arial"/>
                <w:color w:val="000000"/>
                <w:sz w:val="20"/>
                <w:szCs w:val="20"/>
              </w:rPr>
              <w:fldChar w:fldCharType="end"/>
            </w:r>
            <w:r w:rsidRPr="005251F3">
              <w:rPr>
                <w:rFonts w:ascii="Arial" w:hAnsi="Arial" w:cs="Arial"/>
                <w:color w:val="000000"/>
                <w:sz w:val="20"/>
                <w:szCs w:val="20"/>
              </w:rPr>
              <w:t xml:space="preserve"> </w:t>
            </w:r>
            <w:r w:rsidRPr="005251F3">
              <w:rPr>
                <w:rFonts w:ascii="Arial" w:hAnsi="Arial" w:cs="Arial"/>
                <w:color w:val="000000"/>
                <w:sz w:val="20"/>
                <w:szCs w:val="20"/>
              </w:rPr>
              <w:fldChar w:fldCharType="begin">
                <w:ffData>
                  <w:name w:val="Text212"/>
                  <w:enabled/>
                  <w:calcOnExit w:val="0"/>
                  <w:textInput/>
                </w:ffData>
              </w:fldChar>
            </w:r>
            <w:r w:rsidRPr="005251F3">
              <w:rPr>
                <w:rFonts w:ascii="Arial" w:hAnsi="Arial" w:cs="Arial"/>
                <w:color w:val="000000"/>
                <w:sz w:val="20"/>
                <w:szCs w:val="20"/>
              </w:rPr>
              <w:instrText xml:space="preserve"> FORMTEXT </w:instrText>
            </w:r>
            <w:r w:rsidRPr="005251F3">
              <w:rPr>
                <w:rFonts w:ascii="Arial" w:hAnsi="Arial" w:cs="Arial"/>
                <w:color w:val="000000"/>
                <w:sz w:val="20"/>
                <w:szCs w:val="20"/>
              </w:rPr>
            </w:r>
            <w:r w:rsidRPr="005251F3">
              <w:rPr>
                <w:rFonts w:ascii="Arial" w:hAnsi="Arial" w:cs="Arial"/>
                <w:color w:val="000000"/>
                <w:sz w:val="20"/>
                <w:szCs w:val="20"/>
              </w:rPr>
              <w:fldChar w:fldCharType="separate"/>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color w:val="000000"/>
                <w:sz w:val="20"/>
                <w:szCs w:val="20"/>
              </w:rPr>
              <w:fldChar w:fldCharType="end"/>
            </w:r>
          </w:p>
          <w:p w:rsidR="00F742E2" w:rsidRPr="005251F3" w:rsidRDefault="00F742E2" w:rsidP="00F742E2">
            <w:pPr>
              <w:spacing w:line="276" w:lineRule="auto"/>
              <w:jc w:val="both"/>
              <w:rPr>
                <w:rFonts w:ascii="Arial" w:hAnsi="Arial" w:cs="Arial"/>
                <w:color w:val="000000"/>
                <w:sz w:val="20"/>
                <w:szCs w:val="20"/>
              </w:rPr>
            </w:pPr>
            <w:r w:rsidRPr="005251F3">
              <w:rPr>
                <w:rFonts w:ascii="Arial" w:hAnsi="Arial" w:cs="Arial"/>
                <w:color w:val="000000"/>
                <w:sz w:val="20"/>
                <w:szCs w:val="20"/>
              </w:rPr>
              <w:t xml:space="preserve">wird ein Verrechnungssatz vereinbart von </w:t>
            </w:r>
            <w:r w:rsidRPr="005251F3">
              <w:rPr>
                <w:rFonts w:ascii="Arial" w:hAnsi="Arial" w:cs="Arial"/>
                <w:color w:val="000000"/>
                <w:sz w:val="20"/>
                <w:szCs w:val="20"/>
              </w:rPr>
              <w:fldChar w:fldCharType="begin">
                <w:ffData>
                  <w:name w:val="Text212"/>
                  <w:enabled/>
                  <w:calcOnExit w:val="0"/>
                  <w:textInput/>
                </w:ffData>
              </w:fldChar>
            </w:r>
            <w:r w:rsidRPr="005251F3">
              <w:rPr>
                <w:rFonts w:ascii="Arial" w:hAnsi="Arial" w:cs="Arial"/>
                <w:color w:val="000000"/>
                <w:sz w:val="20"/>
                <w:szCs w:val="20"/>
              </w:rPr>
              <w:instrText xml:space="preserve"> FORMTEXT </w:instrText>
            </w:r>
            <w:r w:rsidRPr="005251F3">
              <w:rPr>
                <w:rFonts w:ascii="Arial" w:hAnsi="Arial" w:cs="Arial"/>
                <w:color w:val="000000"/>
                <w:sz w:val="20"/>
                <w:szCs w:val="20"/>
              </w:rPr>
            </w:r>
            <w:r w:rsidRPr="005251F3">
              <w:rPr>
                <w:rFonts w:ascii="Arial" w:hAnsi="Arial" w:cs="Arial"/>
                <w:color w:val="000000"/>
                <w:sz w:val="20"/>
                <w:szCs w:val="20"/>
              </w:rPr>
              <w:fldChar w:fldCharType="separate"/>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color w:val="000000"/>
                <w:sz w:val="20"/>
                <w:szCs w:val="20"/>
              </w:rPr>
              <w:fldChar w:fldCharType="end"/>
            </w:r>
            <w:r w:rsidRPr="005251F3">
              <w:rPr>
                <w:rFonts w:ascii="Arial" w:hAnsi="Arial" w:cs="Arial"/>
                <w:color w:val="000000"/>
                <w:sz w:val="20"/>
                <w:szCs w:val="20"/>
              </w:rPr>
              <w:t xml:space="preserve"> Euro/Seite und </w:t>
            </w:r>
            <w:r w:rsidRPr="005251F3">
              <w:rPr>
                <w:rFonts w:ascii="Arial" w:hAnsi="Arial" w:cs="Arial"/>
                <w:color w:val="000000"/>
                <w:sz w:val="20"/>
                <w:szCs w:val="20"/>
              </w:rPr>
              <w:fldChar w:fldCharType="begin">
                <w:ffData>
                  <w:name w:val="Text212"/>
                  <w:enabled/>
                  <w:calcOnExit w:val="0"/>
                  <w:textInput/>
                </w:ffData>
              </w:fldChar>
            </w:r>
            <w:r w:rsidRPr="005251F3">
              <w:rPr>
                <w:rFonts w:ascii="Arial" w:hAnsi="Arial" w:cs="Arial"/>
                <w:color w:val="000000"/>
                <w:sz w:val="20"/>
                <w:szCs w:val="20"/>
              </w:rPr>
              <w:instrText xml:space="preserve"> FORMTEXT </w:instrText>
            </w:r>
            <w:r w:rsidRPr="005251F3">
              <w:rPr>
                <w:rFonts w:ascii="Arial" w:hAnsi="Arial" w:cs="Arial"/>
                <w:color w:val="000000"/>
                <w:sz w:val="20"/>
                <w:szCs w:val="20"/>
              </w:rPr>
            </w:r>
            <w:r w:rsidRPr="005251F3">
              <w:rPr>
                <w:rFonts w:ascii="Arial" w:hAnsi="Arial" w:cs="Arial"/>
                <w:color w:val="000000"/>
                <w:sz w:val="20"/>
                <w:szCs w:val="20"/>
              </w:rPr>
              <w:fldChar w:fldCharType="separate"/>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noProof/>
                <w:color w:val="000000"/>
                <w:sz w:val="20"/>
                <w:szCs w:val="20"/>
              </w:rPr>
              <w:t> </w:t>
            </w:r>
            <w:r w:rsidRPr="005251F3">
              <w:rPr>
                <w:rFonts w:ascii="Arial" w:hAnsi="Arial" w:cs="Arial"/>
                <w:color w:val="000000"/>
                <w:sz w:val="20"/>
                <w:szCs w:val="20"/>
              </w:rPr>
              <w:fldChar w:fldCharType="end"/>
            </w:r>
            <w:r w:rsidRPr="005251F3">
              <w:rPr>
                <w:rFonts w:ascii="Arial" w:hAnsi="Arial" w:cs="Arial"/>
                <w:color w:val="000000"/>
                <w:sz w:val="20"/>
                <w:szCs w:val="20"/>
              </w:rPr>
              <w:t xml:space="preserve"> Euro/Plan.</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7546" w:type="dxa"/>
            <w:gridSpan w:val="3"/>
            <w:shd w:val="clear" w:color="auto" w:fill="auto"/>
          </w:tcPr>
          <w:p w:rsidR="00F742E2" w:rsidRPr="005251F3" w:rsidRDefault="00F742E2" w:rsidP="00F742E2">
            <w:pPr>
              <w:tabs>
                <w:tab w:val="left" w:pos="1800"/>
              </w:tabs>
              <w:spacing w:before="120" w:line="276" w:lineRule="auto"/>
              <w:jc w:val="both"/>
              <w:rPr>
                <w:rFonts w:ascii="Arial" w:hAnsi="Arial" w:cs="Arial"/>
                <w:b/>
                <w:color w:val="000000"/>
                <w:sz w:val="20"/>
                <w:szCs w:val="20"/>
              </w:rPr>
            </w:pP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b/>
                <w:sz w:val="20"/>
                <w:szCs w:val="20"/>
              </w:rPr>
              <w:t>Zu § 13</w:t>
            </w:r>
          </w:p>
        </w:tc>
        <w:tc>
          <w:tcPr>
            <w:tcW w:w="7546" w:type="dxa"/>
            <w:gridSpan w:val="3"/>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b/>
                <w:sz w:val="20"/>
                <w:szCs w:val="20"/>
              </w:rPr>
              <w:t>Haftpflichtversicherung</w:t>
            </w:r>
          </w:p>
          <w:p w:rsidR="00F742E2" w:rsidRPr="005251F3" w:rsidRDefault="00F742E2">
            <w:pPr>
              <w:spacing w:before="80" w:line="276" w:lineRule="auto"/>
              <w:jc w:val="both"/>
              <w:rPr>
                <w:rFonts w:ascii="Arial" w:hAnsi="Arial" w:cs="Arial"/>
                <w:sz w:val="20"/>
                <w:szCs w:val="20"/>
              </w:rPr>
            </w:pPr>
            <w:r w:rsidRPr="005251F3">
              <w:rPr>
                <w:rFonts w:ascii="Arial" w:hAnsi="Arial" w:cs="Arial"/>
                <w:sz w:val="20"/>
                <w:szCs w:val="20"/>
              </w:rPr>
              <w:t>Hier sind Angaben zu der erforderlichen Höhe der Haftpflichtversicherung zu machen. Der Nachweis des Haftpflichtversicherungsschutzes ist vor Vertragsabschluss anzufordern und nach Vertragsabschluss bei längerfristiger Leistungsabwicklung ggf. erneut zu überprüfen. K12 RBBau ist zu beachten.</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7546" w:type="dxa"/>
            <w:gridSpan w:val="3"/>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sz w:val="20"/>
                <w:szCs w:val="20"/>
              </w:rPr>
              <w:t>Freiberuflich Tätige haben Haftpflichtversicherungen mit Deckungssummen für Personenschäden in folgender Staffelung nachzuweisen:</w:t>
            </w:r>
          </w:p>
          <w:tbl>
            <w:tblPr>
              <w:tblStyle w:val="Tabellenraster"/>
              <w:tblW w:w="0" w:type="auto"/>
              <w:tblLayout w:type="fixed"/>
              <w:tblLook w:val="04A0" w:firstRow="1" w:lastRow="0" w:firstColumn="1" w:lastColumn="0" w:noHBand="0" w:noVBand="1"/>
            </w:tblPr>
            <w:tblGrid>
              <w:gridCol w:w="3605"/>
              <w:gridCol w:w="3606"/>
            </w:tblGrid>
            <w:tr w:rsidR="00F742E2" w:rsidRPr="005251F3" w:rsidTr="00C118F7">
              <w:tc>
                <w:tcPr>
                  <w:tcW w:w="3605" w:type="dxa"/>
                </w:tcPr>
                <w:p w:rsidR="00F742E2" w:rsidRPr="005251F3" w:rsidRDefault="00F742E2" w:rsidP="00F742E2">
                  <w:pPr>
                    <w:spacing w:before="80" w:line="276" w:lineRule="auto"/>
                    <w:jc w:val="center"/>
                    <w:rPr>
                      <w:rFonts w:ascii="Arial" w:hAnsi="Arial" w:cs="Arial"/>
                      <w:b/>
                      <w:sz w:val="20"/>
                      <w:szCs w:val="20"/>
                    </w:rPr>
                  </w:pPr>
                  <w:r w:rsidRPr="005251F3">
                    <w:rPr>
                      <w:rFonts w:ascii="Arial" w:hAnsi="Arial" w:cs="Arial"/>
                      <w:sz w:val="20"/>
                      <w:szCs w:val="20"/>
                    </w:rPr>
                    <w:t>von der Bauverwaltung geschätzte Baukosten in Euro</w:t>
                  </w:r>
                </w:p>
              </w:tc>
              <w:tc>
                <w:tcPr>
                  <w:tcW w:w="3606" w:type="dxa"/>
                </w:tcPr>
                <w:p w:rsidR="00F742E2" w:rsidRPr="005251F3" w:rsidRDefault="00F742E2" w:rsidP="00F742E2">
                  <w:pPr>
                    <w:spacing w:before="80" w:line="200" w:lineRule="atLeast"/>
                    <w:jc w:val="center"/>
                    <w:rPr>
                      <w:rFonts w:ascii="Arial" w:hAnsi="Arial" w:cs="Arial"/>
                      <w:sz w:val="20"/>
                      <w:szCs w:val="20"/>
                    </w:rPr>
                  </w:pPr>
                  <w:r w:rsidRPr="005251F3">
                    <w:rPr>
                      <w:rFonts w:ascii="Arial" w:hAnsi="Arial" w:cs="Arial"/>
                      <w:sz w:val="20"/>
                      <w:szCs w:val="20"/>
                    </w:rPr>
                    <w:t>Deckungssumme für Personenschäden in Euro</w:t>
                  </w:r>
                </w:p>
              </w:tc>
            </w:tr>
            <w:tr w:rsidR="00F742E2" w:rsidRPr="005251F3" w:rsidTr="00C118F7">
              <w:tc>
                <w:tcPr>
                  <w:tcW w:w="3605" w:type="dxa"/>
                  <w:vAlign w:val="center"/>
                </w:tcPr>
                <w:p w:rsidR="00F742E2" w:rsidRPr="005251F3" w:rsidRDefault="00F742E2" w:rsidP="00F742E2">
                  <w:pPr>
                    <w:spacing w:before="80" w:line="200" w:lineRule="atLeast"/>
                    <w:jc w:val="center"/>
                    <w:rPr>
                      <w:rFonts w:ascii="Arial" w:hAnsi="Arial" w:cs="Arial"/>
                      <w:sz w:val="20"/>
                      <w:szCs w:val="20"/>
                    </w:rPr>
                  </w:pPr>
                  <w:r w:rsidRPr="005251F3">
                    <w:rPr>
                      <w:rFonts w:ascii="Arial" w:hAnsi="Arial" w:cs="Arial"/>
                      <w:sz w:val="20"/>
                      <w:szCs w:val="20"/>
                    </w:rPr>
                    <w:t>bis 4.000.000</w:t>
                  </w:r>
                </w:p>
              </w:tc>
              <w:tc>
                <w:tcPr>
                  <w:tcW w:w="3606" w:type="dxa"/>
                  <w:vAlign w:val="center"/>
                </w:tcPr>
                <w:p w:rsidR="00F742E2" w:rsidRPr="005251F3" w:rsidRDefault="00F742E2" w:rsidP="00F742E2">
                  <w:pPr>
                    <w:spacing w:before="80" w:line="200" w:lineRule="atLeast"/>
                    <w:jc w:val="center"/>
                    <w:rPr>
                      <w:rFonts w:ascii="Arial" w:hAnsi="Arial" w:cs="Arial"/>
                      <w:sz w:val="20"/>
                      <w:szCs w:val="20"/>
                    </w:rPr>
                  </w:pPr>
                  <w:r w:rsidRPr="005251F3">
                    <w:rPr>
                      <w:rFonts w:ascii="Arial" w:hAnsi="Arial" w:cs="Arial"/>
                      <w:sz w:val="20"/>
                      <w:szCs w:val="20"/>
                    </w:rPr>
                    <w:t>1.500.000</w:t>
                  </w:r>
                </w:p>
              </w:tc>
            </w:tr>
            <w:tr w:rsidR="00F742E2" w:rsidRPr="005251F3" w:rsidTr="00E90904">
              <w:tc>
                <w:tcPr>
                  <w:tcW w:w="3605" w:type="dxa"/>
                  <w:tcBorders>
                    <w:bottom w:val="single" w:sz="4" w:space="0" w:color="auto"/>
                  </w:tcBorders>
                  <w:vAlign w:val="center"/>
                </w:tcPr>
                <w:p w:rsidR="00F742E2" w:rsidRPr="005251F3" w:rsidRDefault="00F742E2" w:rsidP="00F742E2">
                  <w:pPr>
                    <w:spacing w:before="80" w:line="200" w:lineRule="atLeast"/>
                    <w:jc w:val="center"/>
                    <w:rPr>
                      <w:rFonts w:ascii="Arial" w:hAnsi="Arial" w:cs="Arial"/>
                      <w:sz w:val="20"/>
                      <w:szCs w:val="20"/>
                    </w:rPr>
                  </w:pPr>
                  <w:r w:rsidRPr="005251F3">
                    <w:rPr>
                      <w:rFonts w:ascii="Arial" w:hAnsi="Arial" w:cs="Arial"/>
                      <w:sz w:val="20"/>
                      <w:szCs w:val="20"/>
                    </w:rPr>
                    <w:t>bis 10.000.000</w:t>
                  </w:r>
                </w:p>
              </w:tc>
              <w:tc>
                <w:tcPr>
                  <w:tcW w:w="3606" w:type="dxa"/>
                  <w:tcBorders>
                    <w:bottom w:val="single" w:sz="4" w:space="0" w:color="auto"/>
                  </w:tcBorders>
                  <w:vAlign w:val="center"/>
                </w:tcPr>
                <w:p w:rsidR="00F742E2" w:rsidRPr="005251F3" w:rsidRDefault="00F742E2" w:rsidP="00F742E2">
                  <w:pPr>
                    <w:spacing w:before="80" w:line="200" w:lineRule="atLeast"/>
                    <w:jc w:val="center"/>
                    <w:rPr>
                      <w:rFonts w:ascii="Arial" w:hAnsi="Arial" w:cs="Arial"/>
                      <w:sz w:val="20"/>
                      <w:szCs w:val="20"/>
                    </w:rPr>
                  </w:pPr>
                  <w:r w:rsidRPr="005251F3">
                    <w:rPr>
                      <w:rFonts w:ascii="Arial" w:hAnsi="Arial" w:cs="Arial"/>
                      <w:sz w:val="20"/>
                      <w:szCs w:val="20"/>
                    </w:rPr>
                    <w:t>2.000.000</w:t>
                  </w:r>
                </w:p>
              </w:tc>
            </w:tr>
            <w:tr w:rsidR="00F742E2" w:rsidRPr="005251F3" w:rsidTr="00E90904">
              <w:tc>
                <w:tcPr>
                  <w:tcW w:w="3605" w:type="dxa"/>
                  <w:tcBorders>
                    <w:bottom w:val="single" w:sz="4" w:space="0" w:color="auto"/>
                  </w:tcBorders>
                  <w:vAlign w:val="center"/>
                </w:tcPr>
                <w:p w:rsidR="00F742E2" w:rsidRPr="005251F3" w:rsidRDefault="00F742E2" w:rsidP="00F742E2">
                  <w:pPr>
                    <w:spacing w:before="80" w:line="200" w:lineRule="atLeast"/>
                    <w:jc w:val="center"/>
                    <w:rPr>
                      <w:rFonts w:ascii="Arial" w:hAnsi="Arial" w:cs="Arial"/>
                      <w:sz w:val="20"/>
                      <w:szCs w:val="20"/>
                    </w:rPr>
                  </w:pPr>
                  <w:r w:rsidRPr="005251F3">
                    <w:rPr>
                      <w:rFonts w:ascii="Arial" w:hAnsi="Arial" w:cs="Arial"/>
                      <w:sz w:val="20"/>
                      <w:szCs w:val="20"/>
                    </w:rPr>
                    <w:t>über 10.000.000</w:t>
                  </w:r>
                </w:p>
              </w:tc>
              <w:tc>
                <w:tcPr>
                  <w:tcW w:w="3606" w:type="dxa"/>
                  <w:tcBorders>
                    <w:bottom w:val="single" w:sz="4" w:space="0" w:color="auto"/>
                  </w:tcBorders>
                  <w:vAlign w:val="center"/>
                </w:tcPr>
                <w:p w:rsidR="00F742E2" w:rsidRPr="005251F3" w:rsidRDefault="00F742E2" w:rsidP="00F742E2">
                  <w:pPr>
                    <w:spacing w:before="80" w:line="200" w:lineRule="atLeast"/>
                    <w:jc w:val="center"/>
                    <w:rPr>
                      <w:rFonts w:ascii="Arial" w:hAnsi="Arial" w:cs="Arial"/>
                      <w:sz w:val="20"/>
                      <w:szCs w:val="20"/>
                    </w:rPr>
                  </w:pPr>
                  <w:r w:rsidRPr="005251F3">
                    <w:rPr>
                      <w:rFonts w:ascii="Arial" w:hAnsi="Arial" w:cs="Arial"/>
                      <w:sz w:val="20"/>
                      <w:szCs w:val="20"/>
                    </w:rPr>
                    <w:t>3.000.000</w:t>
                  </w:r>
                </w:p>
              </w:tc>
            </w:tr>
            <w:tr w:rsidR="00F742E2" w:rsidRPr="005251F3" w:rsidTr="00E90904">
              <w:tc>
                <w:tcPr>
                  <w:tcW w:w="3605" w:type="dxa"/>
                  <w:tcBorders>
                    <w:top w:val="single" w:sz="4" w:space="0" w:color="auto"/>
                    <w:left w:val="nil"/>
                    <w:bottom w:val="nil"/>
                    <w:right w:val="nil"/>
                  </w:tcBorders>
                  <w:vAlign w:val="center"/>
                </w:tcPr>
                <w:p w:rsidR="00F742E2" w:rsidRPr="005251F3" w:rsidRDefault="00F742E2" w:rsidP="00F742E2">
                  <w:pPr>
                    <w:spacing w:before="80" w:line="200" w:lineRule="atLeast"/>
                    <w:jc w:val="center"/>
                    <w:rPr>
                      <w:rFonts w:ascii="Arial" w:hAnsi="Arial" w:cs="Arial"/>
                      <w:sz w:val="20"/>
                      <w:szCs w:val="20"/>
                    </w:rPr>
                  </w:pPr>
                </w:p>
              </w:tc>
              <w:tc>
                <w:tcPr>
                  <w:tcW w:w="3606" w:type="dxa"/>
                  <w:tcBorders>
                    <w:top w:val="single" w:sz="4" w:space="0" w:color="auto"/>
                    <w:left w:val="nil"/>
                    <w:bottom w:val="nil"/>
                    <w:right w:val="nil"/>
                  </w:tcBorders>
                  <w:vAlign w:val="center"/>
                </w:tcPr>
                <w:p w:rsidR="00F742E2" w:rsidRPr="005251F3" w:rsidRDefault="00F742E2" w:rsidP="00F742E2">
                  <w:pPr>
                    <w:spacing w:before="80" w:line="200" w:lineRule="atLeast"/>
                    <w:jc w:val="center"/>
                    <w:rPr>
                      <w:rFonts w:ascii="Arial" w:hAnsi="Arial" w:cs="Arial"/>
                      <w:sz w:val="20"/>
                      <w:szCs w:val="20"/>
                    </w:rPr>
                  </w:pPr>
                </w:p>
              </w:tc>
            </w:tr>
          </w:tbl>
          <w:p w:rsidR="00F742E2" w:rsidRPr="005251F3" w:rsidRDefault="00F742E2" w:rsidP="00F742E2">
            <w:pPr>
              <w:spacing w:before="80" w:line="276" w:lineRule="auto"/>
              <w:jc w:val="both"/>
              <w:rPr>
                <w:rFonts w:ascii="Arial" w:hAnsi="Arial" w:cs="Arial"/>
                <w:b/>
                <w:sz w:val="20"/>
                <w:szCs w:val="20"/>
              </w:rPr>
            </w:pP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7546" w:type="dxa"/>
            <w:gridSpan w:val="3"/>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sz w:val="20"/>
                <w:szCs w:val="20"/>
              </w:rPr>
              <w:t>Freiberuflich Tätige haben Haftpflichtversicherungen mit Deckungssummen für sonstige Schäden in folgender Staffelung nachzuweisen:</w:t>
            </w:r>
          </w:p>
          <w:tbl>
            <w:tblPr>
              <w:tblStyle w:val="Tabellenraster"/>
              <w:tblW w:w="14421" w:type="dxa"/>
              <w:tblLayout w:type="fixed"/>
              <w:tblLook w:val="04A0" w:firstRow="1" w:lastRow="0" w:firstColumn="1" w:lastColumn="0" w:noHBand="0" w:noVBand="1"/>
            </w:tblPr>
            <w:tblGrid>
              <w:gridCol w:w="3605"/>
              <w:gridCol w:w="3605"/>
              <w:gridCol w:w="3605"/>
              <w:gridCol w:w="3606"/>
            </w:tblGrid>
            <w:tr w:rsidR="00F742E2" w:rsidRPr="005251F3" w:rsidTr="00C118F7">
              <w:tc>
                <w:tcPr>
                  <w:tcW w:w="3605" w:type="dxa"/>
                  <w:tcBorders>
                    <w:top w:val="single" w:sz="4" w:space="0" w:color="auto"/>
                    <w:left w:val="single" w:sz="4" w:space="0" w:color="auto"/>
                    <w:bottom w:val="single" w:sz="4" w:space="0" w:color="auto"/>
                    <w:right w:val="single" w:sz="4" w:space="0" w:color="auto"/>
                  </w:tcBorders>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von der Bauverwaltung geschätzte Baukosten in Euro</w:t>
                  </w:r>
                </w:p>
              </w:tc>
              <w:tc>
                <w:tcPr>
                  <w:tcW w:w="3605" w:type="dxa"/>
                  <w:tcBorders>
                    <w:top w:val="single" w:sz="4" w:space="0" w:color="auto"/>
                    <w:left w:val="single" w:sz="4" w:space="0" w:color="auto"/>
                    <w:bottom w:val="single" w:sz="4" w:space="0" w:color="auto"/>
                    <w:right w:val="single" w:sz="4" w:space="0" w:color="auto"/>
                  </w:tcBorders>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Deckungssumme für sonstige Schäden</w:t>
                  </w:r>
                </w:p>
              </w:tc>
              <w:tc>
                <w:tcPr>
                  <w:tcW w:w="3605" w:type="dxa"/>
                  <w:tcBorders>
                    <w:top w:val="nil"/>
                    <w:left w:val="single" w:sz="4" w:space="0" w:color="auto"/>
                    <w:bottom w:val="nil"/>
                    <w:right w:val="nil"/>
                  </w:tcBorders>
                </w:tcPr>
                <w:p w:rsidR="00F742E2" w:rsidRPr="005251F3" w:rsidRDefault="00F742E2" w:rsidP="00F742E2">
                  <w:pPr>
                    <w:spacing w:before="80" w:line="276" w:lineRule="auto"/>
                    <w:jc w:val="both"/>
                    <w:rPr>
                      <w:rFonts w:ascii="Arial" w:hAnsi="Arial" w:cs="Arial"/>
                      <w:b/>
                      <w:sz w:val="20"/>
                      <w:szCs w:val="20"/>
                    </w:rPr>
                  </w:pPr>
                </w:p>
              </w:tc>
              <w:tc>
                <w:tcPr>
                  <w:tcW w:w="3606" w:type="dxa"/>
                  <w:tcBorders>
                    <w:left w:val="nil"/>
                  </w:tcBorders>
                </w:tcPr>
                <w:p w:rsidR="00F742E2" w:rsidRPr="005251F3" w:rsidRDefault="00F742E2" w:rsidP="00F742E2">
                  <w:pPr>
                    <w:spacing w:before="80" w:line="276" w:lineRule="auto"/>
                    <w:jc w:val="both"/>
                    <w:rPr>
                      <w:rFonts w:ascii="Arial" w:hAnsi="Arial" w:cs="Arial"/>
                      <w:sz w:val="20"/>
                      <w:szCs w:val="20"/>
                    </w:rPr>
                  </w:pPr>
                </w:p>
              </w:tc>
            </w:tr>
            <w:tr w:rsidR="00F742E2" w:rsidRPr="005251F3" w:rsidTr="00C118F7">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bis 500.000</w:t>
                  </w:r>
                </w:p>
              </w:tc>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250.000</w:t>
                  </w:r>
                </w:p>
              </w:tc>
              <w:tc>
                <w:tcPr>
                  <w:tcW w:w="3605" w:type="dxa"/>
                  <w:tcBorders>
                    <w:top w:val="nil"/>
                    <w:left w:val="single" w:sz="4" w:space="0" w:color="auto"/>
                    <w:bottom w:val="nil"/>
                    <w:right w:val="nil"/>
                  </w:tcBorders>
                </w:tcPr>
                <w:p w:rsidR="00F742E2" w:rsidRPr="005251F3" w:rsidRDefault="00F742E2" w:rsidP="00F742E2">
                  <w:pPr>
                    <w:spacing w:before="80" w:line="276" w:lineRule="auto"/>
                    <w:jc w:val="both"/>
                    <w:rPr>
                      <w:rFonts w:ascii="Arial" w:hAnsi="Arial" w:cs="Arial"/>
                      <w:b/>
                      <w:sz w:val="20"/>
                      <w:szCs w:val="20"/>
                    </w:rPr>
                  </w:pPr>
                </w:p>
              </w:tc>
              <w:tc>
                <w:tcPr>
                  <w:tcW w:w="3606" w:type="dxa"/>
                  <w:tcBorders>
                    <w:left w:val="nil"/>
                  </w:tcBorders>
                </w:tcPr>
                <w:p w:rsidR="00F742E2" w:rsidRPr="005251F3" w:rsidRDefault="00F742E2" w:rsidP="00F742E2">
                  <w:pPr>
                    <w:spacing w:before="80" w:line="276" w:lineRule="auto"/>
                    <w:jc w:val="both"/>
                    <w:rPr>
                      <w:rFonts w:ascii="Arial" w:hAnsi="Arial" w:cs="Arial"/>
                      <w:sz w:val="20"/>
                      <w:szCs w:val="20"/>
                    </w:rPr>
                  </w:pPr>
                </w:p>
              </w:tc>
            </w:tr>
            <w:tr w:rsidR="00F742E2" w:rsidRPr="005251F3" w:rsidTr="00C118F7">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bis 1.500.000</w:t>
                  </w:r>
                </w:p>
              </w:tc>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500.000</w:t>
                  </w:r>
                </w:p>
              </w:tc>
              <w:tc>
                <w:tcPr>
                  <w:tcW w:w="3605" w:type="dxa"/>
                  <w:tcBorders>
                    <w:top w:val="nil"/>
                    <w:left w:val="single" w:sz="4" w:space="0" w:color="auto"/>
                    <w:bottom w:val="nil"/>
                    <w:right w:val="nil"/>
                  </w:tcBorders>
                </w:tcPr>
                <w:p w:rsidR="00F742E2" w:rsidRPr="005251F3" w:rsidRDefault="00F742E2" w:rsidP="00F742E2">
                  <w:pPr>
                    <w:spacing w:before="80" w:line="276" w:lineRule="auto"/>
                    <w:jc w:val="both"/>
                    <w:rPr>
                      <w:rFonts w:ascii="Arial" w:hAnsi="Arial" w:cs="Arial"/>
                      <w:sz w:val="20"/>
                      <w:szCs w:val="20"/>
                    </w:rPr>
                  </w:pPr>
                </w:p>
              </w:tc>
              <w:tc>
                <w:tcPr>
                  <w:tcW w:w="3606" w:type="dxa"/>
                  <w:tcBorders>
                    <w:left w:val="nil"/>
                  </w:tcBorders>
                </w:tcPr>
                <w:p w:rsidR="00F742E2" w:rsidRPr="005251F3" w:rsidRDefault="00F742E2" w:rsidP="00F742E2">
                  <w:pPr>
                    <w:spacing w:before="80" w:line="276" w:lineRule="auto"/>
                    <w:jc w:val="both"/>
                    <w:rPr>
                      <w:rFonts w:ascii="Arial" w:hAnsi="Arial" w:cs="Arial"/>
                      <w:sz w:val="20"/>
                      <w:szCs w:val="20"/>
                    </w:rPr>
                  </w:pPr>
                </w:p>
              </w:tc>
            </w:tr>
            <w:tr w:rsidR="00F742E2" w:rsidRPr="005251F3" w:rsidTr="00C118F7">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bis 4.000.000</w:t>
                  </w:r>
                </w:p>
              </w:tc>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1.000.000</w:t>
                  </w:r>
                </w:p>
              </w:tc>
              <w:tc>
                <w:tcPr>
                  <w:tcW w:w="3605" w:type="dxa"/>
                  <w:tcBorders>
                    <w:top w:val="nil"/>
                    <w:left w:val="single" w:sz="4" w:space="0" w:color="auto"/>
                    <w:bottom w:val="nil"/>
                    <w:right w:val="nil"/>
                  </w:tcBorders>
                </w:tcPr>
                <w:p w:rsidR="00F742E2" w:rsidRPr="005251F3" w:rsidRDefault="00F742E2" w:rsidP="00F742E2">
                  <w:pPr>
                    <w:spacing w:before="80" w:line="276" w:lineRule="auto"/>
                    <w:jc w:val="both"/>
                    <w:rPr>
                      <w:rFonts w:ascii="Arial" w:hAnsi="Arial" w:cs="Arial"/>
                      <w:sz w:val="20"/>
                      <w:szCs w:val="20"/>
                    </w:rPr>
                  </w:pPr>
                </w:p>
              </w:tc>
              <w:tc>
                <w:tcPr>
                  <w:tcW w:w="3606" w:type="dxa"/>
                  <w:tcBorders>
                    <w:left w:val="nil"/>
                  </w:tcBorders>
                </w:tcPr>
                <w:p w:rsidR="00F742E2" w:rsidRPr="005251F3" w:rsidRDefault="00F742E2" w:rsidP="00F742E2">
                  <w:pPr>
                    <w:spacing w:before="80" w:line="276" w:lineRule="auto"/>
                    <w:jc w:val="both"/>
                    <w:rPr>
                      <w:rFonts w:ascii="Arial" w:hAnsi="Arial" w:cs="Arial"/>
                      <w:sz w:val="20"/>
                      <w:szCs w:val="20"/>
                    </w:rPr>
                  </w:pPr>
                </w:p>
              </w:tc>
            </w:tr>
            <w:tr w:rsidR="00F742E2" w:rsidRPr="005251F3" w:rsidTr="00C118F7">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bis 10.000.000</w:t>
                  </w:r>
                </w:p>
              </w:tc>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2.000.000</w:t>
                  </w:r>
                </w:p>
              </w:tc>
              <w:tc>
                <w:tcPr>
                  <w:tcW w:w="3605" w:type="dxa"/>
                  <w:tcBorders>
                    <w:top w:val="nil"/>
                    <w:left w:val="single" w:sz="4" w:space="0" w:color="auto"/>
                    <w:bottom w:val="nil"/>
                    <w:right w:val="nil"/>
                  </w:tcBorders>
                </w:tcPr>
                <w:p w:rsidR="00F742E2" w:rsidRPr="005251F3" w:rsidRDefault="00F742E2" w:rsidP="00F742E2">
                  <w:pPr>
                    <w:spacing w:before="80" w:line="276" w:lineRule="auto"/>
                    <w:jc w:val="both"/>
                    <w:rPr>
                      <w:rFonts w:ascii="Arial" w:hAnsi="Arial" w:cs="Arial"/>
                      <w:sz w:val="20"/>
                      <w:szCs w:val="20"/>
                    </w:rPr>
                  </w:pPr>
                </w:p>
              </w:tc>
              <w:tc>
                <w:tcPr>
                  <w:tcW w:w="3606" w:type="dxa"/>
                  <w:tcBorders>
                    <w:left w:val="nil"/>
                  </w:tcBorders>
                </w:tcPr>
                <w:p w:rsidR="00F742E2" w:rsidRPr="005251F3" w:rsidRDefault="00F742E2" w:rsidP="00F742E2">
                  <w:pPr>
                    <w:spacing w:before="80" w:line="276" w:lineRule="auto"/>
                    <w:jc w:val="both"/>
                    <w:rPr>
                      <w:rFonts w:ascii="Arial" w:hAnsi="Arial" w:cs="Arial"/>
                      <w:sz w:val="20"/>
                      <w:szCs w:val="20"/>
                    </w:rPr>
                  </w:pPr>
                </w:p>
              </w:tc>
            </w:tr>
            <w:tr w:rsidR="00F742E2" w:rsidRPr="005251F3" w:rsidTr="00C118F7">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bis 25.000.000</w:t>
                  </w:r>
                </w:p>
              </w:tc>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3.000.000</w:t>
                  </w:r>
                </w:p>
              </w:tc>
              <w:tc>
                <w:tcPr>
                  <w:tcW w:w="3605" w:type="dxa"/>
                  <w:tcBorders>
                    <w:top w:val="nil"/>
                    <w:left w:val="single" w:sz="4" w:space="0" w:color="auto"/>
                    <w:bottom w:val="nil"/>
                    <w:right w:val="nil"/>
                  </w:tcBorders>
                </w:tcPr>
                <w:p w:rsidR="00F742E2" w:rsidRPr="005251F3" w:rsidRDefault="00F742E2" w:rsidP="00F742E2">
                  <w:pPr>
                    <w:spacing w:before="80" w:line="276" w:lineRule="auto"/>
                    <w:jc w:val="both"/>
                    <w:rPr>
                      <w:rFonts w:ascii="Arial" w:hAnsi="Arial" w:cs="Arial"/>
                      <w:sz w:val="20"/>
                      <w:szCs w:val="20"/>
                    </w:rPr>
                  </w:pPr>
                </w:p>
              </w:tc>
              <w:tc>
                <w:tcPr>
                  <w:tcW w:w="3606" w:type="dxa"/>
                  <w:tcBorders>
                    <w:left w:val="nil"/>
                  </w:tcBorders>
                </w:tcPr>
                <w:p w:rsidR="00F742E2" w:rsidRPr="005251F3" w:rsidRDefault="00F742E2" w:rsidP="00F742E2">
                  <w:pPr>
                    <w:spacing w:before="80" w:line="276" w:lineRule="auto"/>
                    <w:jc w:val="both"/>
                    <w:rPr>
                      <w:rFonts w:ascii="Arial" w:hAnsi="Arial" w:cs="Arial"/>
                      <w:sz w:val="20"/>
                      <w:szCs w:val="20"/>
                    </w:rPr>
                  </w:pPr>
                </w:p>
              </w:tc>
            </w:tr>
            <w:tr w:rsidR="00F742E2" w:rsidRPr="005251F3" w:rsidTr="00C118F7">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bis 50.000.000</w:t>
                  </w:r>
                </w:p>
              </w:tc>
              <w:tc>
                <w:tcPr>
                  <w:tcW w:w="3605" w:type="dxa"/>
                  <w:tcBorders>
                    <w:top w:val="single" w:sz="4" w:space="0" w:color="auto"/>
                    <w:left w:val="single" w:sz="4" w:space="0" w:color="auto"/>
                    <w:bottom w:val="single" w:sz="4" w:space="0" w:color="auto"/>
                    <w:right w:val="single" w:sz="4" w:space="0" w:color="auto"/>
                  </w:tcBorders>
                  <w:vAlign w:val="center"/>
                </w:tcPr>
                <w:p w:rsidR="00F742E2" w:rsidRPr="005251F3" w:rsidRDefault="00F742E2" w:rsidP="00F742E2">
                  <w:pPr>
                    <w:spacing w:before="80" w:line="276" w:lineRule="auto"/>
                    <w:jc w:val="center"/>
                    <w:rPr>
                      <w:rFonts w:ascii="Arial" w:hAnsi="Arial" w:cs="Arial"/>
                      <w:sz w:val="20"/>
                      <w:szCs w:val="20"/>
                    </w:rPr>
                  </w:pPr>
                  <w:r w:rsidRPr="005251F3">
                    <w:rPr>
                      <w:rFonts w:ascii="Arial" w:hAnsi="Arial" w:cs="Arial"/>
                      <w:sz w:val="20"/>
                      <w:szCs w:val="20"/>
                    </w:rPr>
                    <w:t>5.000.000</w:t>
                  </w:r>
                </w:p>
              </w:tc>
              <w:tc>
                <w:tcPr>
                  <w:tcW w:w="3605" w:type="dxa"/>
                  <w:tcBorders>
                    <w:top w:val="nil"/>
                    <w:left w:val="single" w:sz="4" w:space="0" w:color="auto"/>
                    <w:bottom w:val="nil"/>
                    <w:right w:val="nil"/>
                  </w:tcBorders>
                </w:tcPr>
                <w:p w:rsidR="00F742E2" w:rsidRPr="005251F3" w:rsidRDefault="00F742E2" w:rsidP="00F742E2">
                  <w:pPr>
                    <w:spacing w:before="80" w:line="276" w:lineRule="auto"/>
                    <w:jc w:val="both"/>
                    <w:rPr>
                      <w:rFonts w:ascii="Arial" w:hAnsi="Arial" w:cs="Arial"/>
                      <w:sz w:val="20"/>
                      <w:szCs w:val="20"/>
                    </w:rPr>
                  </w:pPr>
                </w:p>
              </w:tc>
              <w:tc>
                <w:tcPr>
                  <w:tcW w:w="3606" w:type="dxa"/>
                  <w:tcBorders>
                    <w:left w:val="nil"/>
                  </w:tcBorders>
                </w:tcPr>
                <w:p w:rsidR="00F742E2" w:rsidRPr="005251F3" w:rsidRDefault="00F742E2" w:rsidP="00F742E2">
                  <w:pPr>
                    <w:spacing w:before="80" w:line="276" w:lineRule="auto"/>
                    <w:jc w:val="both"/>
                    <w:rPr>
                      <w:rFonts w:ascii="Arial" w:hAnsi="Arial" w:cs="Arial"/>
                      <w:sz w:val="20"/>
                      <w:szCs w:val="20"/>
                    </w:rPr>
                  </w:pPr>
                </w:p>
              </w:tc>
            </w:tr>
          </w:tbl>
          <w:p w:rsidR="00F742E2" w:rsidRPr="005251F3" w:rsidRDefault="000F44A0" w:rsidP="00F7709C">
            <w:pPr>
              <w:spacing w:before="80" w:line="276" w:lineRule="auto"/>
              <w:jc w:val="both"/>
              <w:rPr>
                <w:rFonts w:ascii="Arial" w:hAnsi="Arial" w:cs="Arial"/>
                <w:sz w:val="20"/>
                <w:szCs w:val="20"/>
              </w:rPr>
            </w:pPr>
            <w:r w:rsidRPr="005251F3">
              <w:rPr>
                <w:rFonts w:ascii="Arial" w:hAnsi="Arial" w:cs="Arial"/>
                <w:sz w:val="20"/>
                <w:szCs w:val="20"/>
              </w:rPr>
              <w:t>Die genannten Deckungssummen sind als Richtwerte anzusehen und können im Einzelfall auch erhöht oder ermäßigt werden. Die Festlegung ist in der Vergabedokumentation zu begründen.</w:t>
            </w:r>
          </w:p>
        </w:tc>
      </w:tr>
      <w:tr w:rsidR="00F7709C" w:rsidRPr="005251F3" w:rsidTr="00061E91">
        <w:trPr>
          <w:cantSplit/>
        </w:trPr>
        <w:tc>
          <w:tcPr>
            <w:tcW w:w="1668" w:type="dxa"/>
            <w:shd w:val="clear" w:color="auto" w:fill="auto"/>
          </w:tcPr>
          <w:p w:rsidR="00F7709C" w:rsidRPr="005251F3" w:rsidRDefault="00F7709C" w:rsidP="00F742E2">
            <w:pPr>
              <w:spacing w:before="80" w:line="276" w:lineRule="auto"/>
              <w:jc w:val="both"/>
              <w:rPr>
                <w:rFonts w:ascii="Arial" w:hAnsi="Arial" w:cs="Arial"/>
                <w:b/>
                <w:sz w:val="20"/>
                <w:szCs w:val="20"/>
              </w:rPr>
            </w:pPr>
          </w:p>
        </w:tc>
        <w:tc>
          <w:tcPr>
            <w:tcW w:w="7546" w:type="dxa"/>
            <w:gridSpan w:val="3"/>
            <w:shd w:val="clear" w:color="auto" w:fill="auto"/>
          </w:tcPr>
          <w:p w:rsidR="00F7709C" w:rsidRPr="005251F3" w:rsidRDefault="00F7709C" w:rsidP="00F742E2">
            <w:pPr>
              <w:spacing w:before="80" w:line="276" w:lineRule="auto"/>
              <w:jc w:val="both"/>
              <w:rPr>
                <w:rFonts w:ascii="Arial" w:hAnsi="Arial" w:cs="Arial"/>
                <w:sz w:val="20"/>
                <w:szCs w:val="20"/>
              </w:rPr>
            </w:pPr>
            <w:r w:rsidRPr="005251F3">
              <w:rPr>
                <w:rFonts w:ascii="Arial" w:hAnsi="Arial" w:cs="Arial"/>
                <w:sz w:val="20"/>
                <w:szCs w:val="20"/>
              </w:rPr>
              <w:t>Bei Baumaßnahmen im Ausland können die Versicherungsbedingungen für Leistungen freiberuflich Tätiger ortsspezifischen Besonderheiten unterliegen oder mit besonderen Kosten verbunden sein. Der Versicherungsschutz ist ggf. anzupassen. Bei von der Bauverwaltung geschätzten Baukosten von über 50 Mio. Euro bzw. 20 Mio. Euro beim Bauen im Bestand mit wesentlichen Eingriffen in die Konstruktion oder bei besonders risikoträchtigen Baumaßnahmen werden die Versicherungssummen grundsätzlich im Einzelfall festgelegt. Soweit erforderlich, ist hierzu unter Hinzuziehung eines Versicherungsberaters eine Risikoanalyse durchzuführen, anhand derer die konkreten Projektrisiken und die Haftungsrisiken für die betreffenden freiberuflich Tätigen bewertet werden und ein Versicherungskonzept entwickelt wird.</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7546" w:type="dxa"/>
            <w:gridSpan w:val="3"/>
            <w:shd w:val="clear" w:color="auto" w:fill="auto"/>
          </w:tcPr>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sz w:val="20"/>
                <w:szCs w:val="20"/>
              </w:rPr>
              <w:t>Der freiberuflich Tätige muss eine Berufshaftpflichtversicherung während der gesamten Vertragszeit unterhalten und nachweisen. Er hat zu gewährleisten, dass zur Deckung eines Schadens aus dem Vertrag Versicherungsschutz in Höhe der im Vertrag genannten Deckungssummen besteht. In jedem Fall ist gemäß § 16 Nr. 1 AVB der Nachweis zu erbringen, dass die Maximierung der Ersatzleistung pro Versicherungsjahr mindestens das Zweifache der Deckungssumme beträgt.</w:t>
            </w:r>
          </w:p>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sz w:val="20"/>
                <w:szCs w:val="20"/>
              </w:rPr>
              <w:t>Soweit der freiberuflich Tätige Versicherungsschutz oberhalb seiner Basisversicherung nachzuweisen hat, besteht die Möglichkeit des Abschlusses einer Objektversicherung oder der Zusatzdeckung durch Abschluss einer zu seiner Basisversicherung hinzutretenden Berufshaftpflicht - Exzedentenversicherung.</w:t>
            </w: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jc w:val="both"/>
              <w:rPr>
                <w:rFonts w:ascii="Arial" w:hAnsi="Arial" w:cs="Arial"/>
                <w:b/>
                <w:sz w:val="20"/>
                <w:szCs w:val="20"/>
              </w:rPr>
            </w:pPr>
          </w:p>
        </w:tc>
        <w:tc>
          <w:tcPr>
            <w:tcW w:w="7546" w:type="dxa"/>
            <w:gridSpan w:val="3"/>
            <w:shd w:val="clear" w:color="auto" w:fill="auto"/>
          </w:tcPr>
          <w:p w:rsidR="00F742E2" w:rsidRPr="005251F3" w:rsidRDefault="00F742E2" w:rsidP="00F742E2">
            <w:pPr>
              <w:spacing w:before="80" w:line="276" w:lineRule="auto"/>
              <w:jc w:val="both"/>
              <w:rPr>
                <w:rFonts w:ascii="Arial" w:hAnsi="Arial" w:cs="Arial"/>
                <w:sz w:val="20"/>
                <w:szCs w:val="20"/>
              </w:rPr>
            </w:pPr>
          </w:p>
        </w:tc>
      </w:tr>
      <w:tr w:rsidR="00F742E2" w:rsidRPr="005251F3" w:rsidTr="00061E91">
        <w:trPr>
          <w:cantSplit/>
        </w:trPr>
        <w:tc>
          <w:tcPr>
            <w:tcW w:w="1668" w:type="dxa"/>
            <w:shd w:val="clear" w:color="auto" w:fill="auto"/>
          </w:tcPr>
          <w:p w:rsidR="00F742E2" w:rsidRPr="005251F3" w:rsidRDefault="00F742E2" w:rsidP="00F742E2">
            <w:pPr>
              <w:spacing w:before="120" w:line="276" w:lineRule="auto"/>
              <w:jc w:val="both"/>
              <w:rPr>
                <w:rFonts w:ascii="Arial" w:hAnsi="Arial" w:cs="Arial"/>
                <w:b/>
                <w:sz w:val="20"/>
                <w:szCs w:val="20"/>
              </w:rPr>
            </w:pPr>
            <w:r w:rsidRPr="005251F3">
              <w:rPr>
                <w:rFonts w:ascii="Arial" w:hAnsi="Arial" w:cs="Arial"/>
                <w:b/>
                <w:sz w:val="20"/>
                <w:szCs w:val="20"/>
              </w:rPr>
              <w:t>Zu § 14</w:t>
            </w:r>
          </w:p>
          <w:p w:rsidR="00F742E2" w:rsidRPr="005251F3" w:rsidRDefault="00F742E2" w:rsidP="00F742E2">
            <w:pPr>
              <w:spacing w:before="80" w:line="276" w:lineRule="auto"/>
              <w:ind w:firstLine="549"/>
              <w:jc w:val="both"/>
              <w:rPr>
                <w:rFonts w:ascii="Arial" w:hAnsi="Arial" w:cs="Arial"/>
                <w:sz w:val="20"/>
                <w:szCs w:val="20"/>
              </w:rPr>
            </w:pPr>
            <w:r w:rsidRPr="005251F3">
              <w:rPr>
                <w:rFonts w:ascii="Arial" w:hAnsi="Arial" w:cs="Arial"/>
                <w:b/>
                <w:sz w:val="20"/>
                <w:szCs w:val="20"/>
              </w:rPr>
              <w:t>Zu 14.1</w:t>
            </w:r>
          </w:p>
        </w:tc>
        <w:tc>
          <w:tcPr>
            <w:tcW w:w="7546" w:type="dxa"/>
            <w:gridSpan w:val="3"/>
            <w:shd w:val="clear" w:color="auto" w:fill="auto"/>
          </w:tcPr>
          <w:p w:rsidR="00F742E2" w:rsidRPr="005251F3" w:rsidRDefault="00F742E2" w:rsidP="00F742E2">
            <w:pPr>
              <w:spacing w:before="120" w:line="276" w:lineRule="auto"/>
              <w:jc w:val="both"/>
              <w:rPr>
                <w:rFonts w:ascii="Arial" w:hAnsi="Arial" w:cs="Arial"/>
                <w:sz w:val="20"/>
                <w:szCs w:val="20"/>
              </w:rPr>
            </w:pPr>
            <w:r w:rsidRPr="005251F3">
              <w:rPr>
                <w:rFonts w:ascii="Arial" w:hAnsi="Arial" w:cs="Arial"/>
                <w:b/>
                <w:sz w:val="20"/>
                <w:szCs w:val="20"/>
              </w:rPr>
              <w:t>Ergänzende Vereinbarungen</w:t>
            </w:r>
          </w:p>
          <w:p w:rsidR="00F742E2" w:rsidRPr="005251F3" w:rsidRDefault="00F742E2" w:rsidP="00F742E2">
            <w:pPr>
              <w:spacing w:before="120" w:line="276" w:lineRule="auto"/>
              <w:jc w:val="both"/>
              <w:rPr>
                <w:rFonts w:ascii="Arial" w:hAnsi="Arial" w:cs="Arial"/>
                <w:sz w:val="20"/>
                <w:szCs w:val="20"/>
              </w:rPr>
            </w:pPr>
            <w:r w:rsidRPr="005251F3">
              <w:rPr>
                <w:rFonts w:ascii="Arial" w:hAnsi="Arial" w:cs="Arial"/>
                <w:b/>
                <w:sz w:val="20"/>
                <w:szCs w:val="20"/>
              </w:rPr>
              <w:t>Verpflichtung nach Verpflichtungsgesetz</w:t>
            </w:r>
          </w:p>
          <w:p w:rsidR="00F742E2" w:rsidRPr="005251F3" w:rsidRDefault="00C45B6D">
            <w:pPr>
              <w:spacing w:before="120" w:line="276" w:lineRule="auto"/>
              <w:jc w:val="both"/>
              <w:rPr>
                <w:rFonts w:ascii="Arial" w:hAnsi="Arial" w:cs="Arial"/>
                <w:sz w:val="20"/>
                <w:szCs w:val="20"/>
              </w:rPr>
            </w:pPr>
            <w:r w:rsidRPr="005251F3">
              <w:rPr>
                <w:rFonts w:ascii="Arial" w:hAnsi="Arial" w:cs="Arial"/>
                <w:color w:val="000000"/>
                <w:sz w:val="20"/>
                <w:szCs w:val="20"/>
              </w:rPr>
              <w:t>Nach Nr. 7.1.6 Satz 4 KorruR sind private Leistungserbringer auf die gewissenhafte Erfüllung ihrer Obliegenheiten nach dem Verpflichtungsgesetz (VerpflG) zu verpflichten. Die einzelne Verpflichtung erfolgt nach VI.11 VHF (Verpflichtungserklärung). Diese ist dem Vertrag schon im Entwurf beizufügen und als Anlage zum Vertrag zu nehmen.</w:t>
            </w:r>
          </w:p>
        </w:tc>
      </w:tr>
      <w:tr w:rsidR="00C45B6D" w:rsidRPr="005251F3" w:rsidTr="00061E91">
        <w:trPr>
          <w:cantSplit/>
        </w:trPr>
        <w:tc>
          <w:tcPr>
            <w:tcW w:w="1668" w:type="dxa"/>
            <w:shd w:val="clear" w:color="auto" w:fill="auto"/>
          </w:tcPr>
          <w:p w:rsidR="00C45B6D" w:rsidRPr="005251F3" w:rsidRDefault="00C45B6D" w:rsidP="00F742E2">
            <w:pPr>
              <w:spacing w:before="80" w:line="276" w:lineRule="auto"/>
              <w:ind w:firstLine="549"/>
              <w:jc w:val="both"/>
              <w:rPr>
                <w:rFonts w:ascii="Arial" w:hAnsi="Arial" w:cs="Arial"/>
                <w:b/>
                <w:sz w:val="20"/>
                <w:szCs w:val="20"/>
              </w:rPr>
            </w:pPr>
          </w:p>
        </w:tc>
        <w:tc>
          <w:tcPr>
            <w:tcW w:w="7546" w:type="dxa"/>
            <w:gridSpan w:val="3"/>
            <w:shd w:val="clear" w:color="auto" w:fill="auto"/>
          </w:tcPr>
          <w:p w:rsidR="00C45B6D" w:rsidRPr="005251F3" w:rsidRDefault="00C45B6D" w:rsidP="00F742E2">
            <w:pPr>
              <w:spacing w:before="80" w:line="276" w:lineRule="auto"/>
              <w:jc w:val="both"/>
              <w:rPr>
                <w:rFonts w:ascii="Arial" w:hAnsi="Arial" w:cs="Arial"/>
                <w:b/>
                <w:sz w:val="20"/>
                <w:szCs w:val="20"/>
              </w:rPr>
            </w:pPr>
            <w:r w:rsidRPr="005251F3">
              <w:rPr>
                <w:rFonts w:ascii="Arial" w:hAnsi="Arial" w:cs="Arial"/>
                <w:color w:val="000000"/>
                <w:sz w:val="20"/>
                <w:szCs w:val="20"/>
              </w:rPr>
              <w:t>Personen, die bereits für die Wahrnehmung anderer Aufgaben oder bei anderen Auftraggebern verpflichtet worden sind oder nach § 2 VerplG bereits als verpflichtet gelten, sind nicht erneut zu verpflichten.</w:t>
            </w:r>
          </w:p>
        </w:tc>
      </w:tr>
      <w:tr w:rsidR="00C45B6D" w:rsidRPr="005251F3" w:rsidTr="00061E91">
        <w:trPr>
          <w:cantSplit/>
        </w:trPr>
        <w:tc>
          <w:tcPr>
            <w:tcW w:w="1668" w:type="dxa"/>
            <w:shd w:val="clear" w:color="auto" w:fill="auto"/>
          </w:tcPr>
          <w:p w:rsidR="00C45B6D" w:rsidRPr="005251F3" w:rsidRDefault="00C45B6D" w:rsidP="00F742E2">
            <w:pPr>
              <w:spacing w:before="80" w:line="276" w:lineRule="auto"/>
              <w:ind w:firstLine="549"/>
              <w:jc w:val="both"/>
              <w:rPr>
                <w:rFonts w:ascii="Arial" w:hAnsi="Arial" w:cs="Arial"/>
                <w:b/>
                <w:sz w:val="20"/>
                <w:szCs w:val="20"/>
              </w:rPr>
            </w:pPr>
          </w:p>
        </w:tc>
        <w:tc>
          <w:tcPr>
            <w:tcW w:w="7546" w:type="dxa"/>
            <w:gridSpan w:val="3"/>
            <w:shd w:val="clear" w:color="auto" w:fill="auto"/>
          </w:tcPr>
          <w:p w:rsidR="00C45B6D" w:rsidRPr="005251F3" w:rsidRDefault="00C45B6D" w:rsidP="00F742E2">
            <w:pPr>
              <w:spacing w:before="80" w:line="276" w:lineRule="auto"/>
              <w:jc w:val="both"/>
              <w:rPr>
                <w:rFonts w:ascii="Arial" w:hAnsi="Arial" w:cs="Arial"/>
                <w:color w:val="000000"/>
                <w:sz w:val="20"/>
                <w:szCs w:val="20"/>
              </w:rPr>
            </w:pPr>
            <w:r w:rsidRPr="005251F3">
              <w:rPr>
                <w:rFonts w:ascii="Arial" w:hAnsi="Arial" w:cs="Arial"/>
                <w:color w:val="000000"/>
                <w:sz w:val="20"/>
                <w:szCs w:val="20"/>
              </w:rPr>
              <w:t>Siehe hierzu auch VI.11.1 VHF (Richtlinie Verpflichtungserklärung).</w:t>
            </w:r>
          </w:p>
          <w:p w:rsidR="00C5696C" w:rsidRPr="005251F3" w:rsidRDefault="00C5696C" w:rsidP="00F742E2">
            <w:pPr>
              <w:spacing w:before="80" w:line="276" w:lineRule="auto"/>
              <w:jc w:val="both"/>
              <w:rPr>
                <w:rFonts w:ascii="Arial" w:hAnsi="Arial" w:cs="Arial"/>
                <w:b/>
                <w:sz w:val="20"/>
                <w:szCs w:val="20"/>
              </w:rPr>
            </w:pPr>
          </w:p>
        </w:tc>
      </w:tr>
      <w:tr w:rsidR="00F742E2" w:rsidRPr="005251F3" w:rsidTr="00061E91">
        <w:trPr>
          <w:cantSplit/>
        </w:trPr>
        <w:tc>
          <w:tcPr>
            <w:tcW w:w="1668" w:type="dxa"/>
            <w:shd w:val="clear" w:color="auto" w:fill="auto"/>
          </w:tcPr>
          <w:p w:rsidR="00F742E2" w:rsidRPr="005251F3" w:rsidRDefault="00F742E2" w:rsidP="00F742E2">
            <w:pPr>
              <w:spacing w:before="80" w:line="276" w:lineRule="auto"/>
              <w:ind w:firstLine="549"/>
              <w:jc w:val="both"/>
              <w:rPr>
                <w:rFonts w:ascii="Arial" w:hAnsi="Arial" w:cs="Arial"/>
                <w:sz w:val="20"/>
                <w:szCs w:val="20"/>
              </w:rPr>
            </w:pPr>
            <w:r w:rsidRPr="005251F3">
              <w:rPr>
                <w:rFonts w:ascii="Arial" w:hAnsi="Arial" w:cs="Arial"/>
                <w:b/>
                <w:sz w:val="20"/>
                <w:szCs w:val="20"/>
              </w:rPr>
              <w:t>Zu 14.3</w:t>
            </w:r>
          </w:p>
        </w:tc>
        <w:tc>
          <w:tcPr>
            <w:tcW w:w="7546" w:type="dxa"/>
            <w:gridSpan w:val="3"/>
            <w:shd w:val="clear" w:color="auto" w:fill="auto"/>
          </w:tcPr>
          <w:p w:rsidR="00F742E2" w:rsidRPr="005251F3" w:rsidRDefault="00F742E2" w:rsidP="00F742E2">
            <w:pPr>
              <w:spacing w:before="80" w:line="276" w:lineRule="auto"/>
              <w:jc w:val="both"/>
              <w:rPr>
                <w:rFonts w:ascii="Arial" w:hAnsi="Arial" w:cs="Arial"/>
                <w:b/>
                <w:sz w:val="20"/>
                <w:szCs w:val="20"/>
              </w:rPr>
            </w:pPr>
            <w:r w:rsidRPr="005251F3">
              <w:rPr>
                <w:rFonts w:ascii="Arial" w:hAnsi="Arial" w:cs="Arial"/>
                <w:b/>
                <w:sz w:val="20"/>
                <w:szCs w:val="20"/>
              </w:rPr>
              <w:t>Weitere ergänzende Vereinbarungen</w:t>
            </w:r>
          </w:p>
          <w:p w:rsidR="00F742E2" w:rsidRPr="005251F3" w:rsidRDefault="00F742E2" w:rsidP="00F742E2">
            <w:pPr>
              <w:spacing w:before="80" w:line="276" w:lineRule="auto"/>
              <w:jc w:val="both"/>
              <w:rPr>
                <w:rFonts w:ascii="Arial" w:hAnsi="Arial" w:cs="Arial"/>
                <w:sz w:val="20"/>
                <w:szCs w:val="20"/>
              </w:rPr>
            </w:pPr>
            <w:r w:rsidRPr="005251F3">
              <w:rPr>
                <w:rFonts w:ascii="Arial" w:hAnsi="Arial" w:cs="Arial"/>
                <w:sz w:val="20"/>
                <w:szCs w:val="20"/>
              </w:rPr>
              <w:t>Hier können weitere vertragliche Regelungen, z.</w:t>
            </w:r>
            <w:r w:rsidR="00B9412F" w:rsidRPr="005251F3">
              <w:rPr>
                <w:rFonts w:ascii="Arial" w:hAnsi="Arial" w:cs="Arial"/>
                <w:sz w:val="20"/>
                <w:szCs w:val="20"/>
              </w:rPr>
              <w:t> </w:t>
            </w:r>
            <w:r w:rsidRPr="005251F3">
              <w:rPr>
                <w:rFonts w:ascii="Arial" w:hAnsi="Arial" w:cs="Arial"/>
                <w:sz w:val="20"/>
                <w:szCs w:val="20"/>
              </w:rPr>
              <w:t>B. Vertragstrafen, urheberrechtliche Regelungen bei der Beauftragung eines Preisträgers oder Sonderregelungen beim Urheberrecht bei Muster- und Standardplanungen vereinbart werden.</w:t>
            </w:r>
          </w:p>
        </w:tc>
      </w:tr>
    </w:tbl>
    <w:p w:rsidR="00B9412F" w:rsidRPr="005251F3" w:rsidRDefault="00B9412F" w:rsidP="00EC6527">
      <w:pPr>
        <w:spacing w:line="276" w:lineRule="auto"/>
        <w:jc w:val="both"/>
        <w:rPr>
          <w:rFonts w:ascii="Arial" w:hAnsi="Arial" w:cs="Arial"/>
          <w:sz w:val="20"/>
          <w:szCs w:val="20"/>
        </w:rPr>
      </w:pPr>
    </w:p>
    <w:p w:rsidR="005D2DB6" w:rsidRDefault="005D2DB6">
      <w:pPr>
        <w:rPr>
          <w:rFonts w:ascii="Arial" w:hAnsi="Arial" w:cs="Arial"/>
          <w:sz w:val="20"/>
          <w:szCs w:val="20"/>
        </w:rPr>
      </w:pPr>
      <w:r>
        <w:rPr>
          <w:rFonts w:ascii="Arial" w:hAnsi="Arial" w:cs="Arial"/>
          <w:sz w:val="20"/>
          <w:szCs w:val="20"/>
        </w:rPr>
        <w:br w:type="page"/>
      </w:r>
    </w:p>
    <w:p w:rsidR="00876BB1" w:rsidRPr="005251F3" w:rsidRDefault="00876BB1" w:rsidP="00EC6527">
      <w:pPr>
        <w:spacing w:line="276" w:lineRule="auto"/>
        <w:jc w:val="both"/>
        <w:rPr>
          <w:rFonts w:ascii="Arial" w:hAnsi="Arial" w:cs="Arial"/>
          <w:sz w:val="20"/>
          <w:szCs w:val="20"/>
        </w:rPr>
      </w:pPr>
    </w:p>
    <w:tbl>
      <w:tblPr>
        <w:tblW w:w="9251" w:type="dxa"/>
        <w:tblLayout w:type="fixed"/>
        <w:tblLook w:val="01E0" w:firstRow="1" w:lastRow="1" w:firstColumn="1" w:lastColumn="1" w:noHBand="0" w:noVBand="0"/>
      </w:tblPr>
      <w:tblGrid>
        <w:gridCol w:w="1701"/>
        <w:gridCol w:w="7550"/>
      </w:tblGrid>
      <w:tr w:rsidR="00D02D6C" w:rsidRPr="005251F3" w:rsidTr="00D10BBC">
        <w:trPr>
          <w:cantSplit/>
        </w:trPr>
        <w:tc>
          <w:tcPr>
            <w:tcW w:w="1701" w:type="dxa"/>
            <w:shd w:val="clear" w:color="auto" w:fill="auto"/>
          </w:tcPr>
          <w:p w:rsidR="00D02D6C" w:rsidRPr="005251F3" w:rsidRDefault="005D4EFE" w:rsidP="001D341F">
            <w:pPr>
              <w:spacing w:before="80" w:line="276" w:lineRule="auto"/>
              <w:jc w:val="both"/>
              <w:rPr>
                <w:rFonts w:ascii="Arial" w:hAnsi="Arial" w:cs="Arial"/>
                <w:b/>
                <w:sz w:val="20"/>
                <w:szCs w:val="20"/>
              </w:rPr>
            </w:pPr>
            <w:r w:rsidRPr="005251F3">
              <w:rPr>
                <w:rFonts w:ascii="Arial" w:hAnsi="Arial" w:cs="Arial"/>
                <w:b/>
                <w:sz w:val="20"/>
                <w:szCs w:val="20"/>
              </w:rPr>
              <w:t>Zu</w:t>
            </w:r>
            <w:r w:rsidR="001D341F">
              <w:rPr>
                <w:rFonts w:ascii="Arial" w:hAnsi="Arial" w:cs="Arial"/>
                <w:b/>
                <w:sz w:val="20"/>
                <w:szCs w:val="20"/>
              </w:rPr>
              <w:t xml:space="preserve"> den </w:t>
            </w:r>
            <w:r w:rsidRPr="005251F3">
              <w:rPr>
                <w:rFonts w:ascii="Arial" w:hAnsi="Arial" w:cs="Arial"/>
                <w:b/>
                <w:sz w:val="20"/>
                <w:szCs w:val="20"/>
              </w:rPr>
              <w:t>Anlage</w:t>
            </w:r>
            <w:r w:rsidR="001D341F">
              <w:rPr>
                <w:rFonts w:ascii="Arial" w:hAnsi="Arial" w:cs="Arial"/>
                <w:b/>
                <w:sz w:val="20"/>
                <w:szCs w:val="20"/>
              </w:rPr>
              <w:t>n</w:t>
            </w:r>
            <w:r w:rsidRPr="005251F3">
              <w:rPr>
                <w:rFonts w:ascii="Arial" w:hAnsi="Arial" w:cs="Arial"/>
                <w:b/>
                <w:sz w:val="20"/>
                <w:szCs w:val="20"/>
              </w:rPr>
              <w:br/>
              <w:t>zu § </w:t>
            </w:r>
            <w:r w:rsidR="00D02D6C" w:rsidRPr="005251F3">
              <w:rPr>
                <w:rFonts w:ascii="Arial" w:hAnsi="Arial" w:cs="Arial"/>
                <w:b/>
                <w:sz w:val="20"/>
                <w:szCs w:val="20"/>
              </w:rPr>
              <w:t>6</w:t>
            </w:r>
          </w:p>
        </w:tc>
        <w:tc>
          <w:tcPr>
            <w:tcW w:w="7550" w:type="dxa"/>
            <w:shd w:val="clear" w:color="auto" w:fill="auto"/>
          </w:tcPr>
          <w:p w:rsidR="00D02D6C" w:rsidRPr="005251F3" w:rsidRDefault="00D02D6C" w:rsidP="00EC6527">
            <w:pPr>
              <w:spacing w:before="80" w:line="276" w:lineRule="auto"/>
              <w:jc w:val="both"/>
              <w:rPr>
                <w:rFonts w:ascii="Arial" w:hAnsi="Arial" w:cs="Arial"/>
                <w:b/>
                <w:sz w:val="20"/>
                <w:szCs w:val="20"/>
              </w:rPr>
            </w:pPr>
            <w:r w:rsidRPr="005251F3">
              <w:rPr>
                <w:rFonts w:ascii="Arial" w:hAnsi="Arial" w:cs="Arial"/>
                <w:b/>
                <w:sz w:val="20"/>
                <w:szCs w:val="20"/>
              </w:rPr>
              <w:t>Spezifische Leistungspflichten</w:t>
            </w:r>
          </w:p>
          <w:p w:rsidR="00D02D6C" w:rsidRPr="005251F3" w:rsidRDefault="00D02D6C" w:rsidP="009E7DA6">
            <w:pPr>
              <w:spacing w:before="80" w:line="276" w:lineRule="auto"/>
              <w:jc w:val="both"/>
              <w:rPr>
                <w:rFonts w:ascii="Arial" w:hAnsi="Arial" w:cs="Arial"/>
                <w:sz w:val="20"/>
                <w:szCs w:val="20"/>
              </w:rPr>
            </w:pPr>
            <w:r w:rsidRPr="005251F3">
              <w:rPr>
                <w:rFonts w:ascii="Arial" w:hAnsi="Arial" w:cs="Arial"/>
                <w:sz w:val="20"/>
                <w:szCs w:val="20"/>
              </w:rPr>
              <w:t>Nicht angekreuzte Leistungen sind nicht beauftragt und bei der Berechnung der Vergütung gemäß §</w:t>
            </w:r>
            <w:r w:rsidR="005D4EFE" w:rsidRPr="005251F3">
              <w:rPr>
                <w:rFonts w:ascii="Arial" w:hAnsi="Arial" w:cs="Arial"/>
                <w:sz w:val="20"/>
                <w:szCs w:val="20"/>
              </w:rPr>
              <w:t> </w:t>
            </w:r>
            <w:r w:rsidRPr="005251F3">
              <w:rPr>
                <w:rFonts w:ascii="Arial" w:hAnsi="Arial" w:cs="Arial"/>
                <w:sz w:val="20"/>
                <w:szCs w:val="20"/>
              </w:rPr>
              <w:t>8</w:t>
            </w:r>
            <w:r w:rsidR="009E7DA6" w:rsidRPr="005251F3">
              <w:rPr>
                <w:rFonts w:ascii="Arial" w:hAnsi="Arial" w:cs="Arial"/>
                <w:sz w:val="20"/>
                <w:szCs w:val="20"/>
              </w:rPr>
              <w:t xml:space="preserve"> </w:t>
            </w:r>
            <w:r w:rsidRPr="005251F3">
              <w:rPr>
                <w:rFonts w:ascii="Arial" w:hAnsi="Arial" w:cs="Arial"/>
                <w:sz w:val="20"/>
                <w:szCs w:val="20"/>
              </w:rPr>
              <w:t>Absatz</w:t>
            </w:r>
            <w:r w:rsidR="009E7DA6" w:rsidRPr="005251F3">
              <w:rPr>
                <w:rFonts w:ascii="Arial" w:hAnsi="Arial" w:cs="Arial"/>
                <w:sz w:val="20"/>
                <w:szCs w:val="20"/>
              </w:rPr>
              <w:t xml:space="preserve"> </w:t>
            </w:r>
            <w:r w:rsidRPr="005251F3">
              <w:rPr>
                <w:rFonts w:ascii="Arial" w:hAnsi="Arial" w:cs="Arial"/>
                <w:sz w:val="20"/>
                <w:szCs w:val="20"/>
              </w:rPr>
              <w:t>2</w:t>
            </w:r>
            <w:r w:rsidR="009E7DA6" w:rsidRPr="005251F3">
              <w:rPr>
                <w:rFonts w:ascii="Arial" w:hAnsi="Arial" w:cs="Arial"/>
                <w:sz w:val="20"/>
                <w:szCs w:val="20"/>
              </w:rPr>
              <w:t xml:space="preserve"> </w:t>
            </w:r>
            <w:r w:rsidRPr="005251F3">
              <w:rPr>
                <w:rFonts w:ascii="Arial" w:hAnsi="Arial" w:cs="Arial"/>
                <w:sz w:val="20"/>
                <w:szCs w:val="20"/>
              </w:rPr>
              <w:t>HOAI nicht zu berücksichtigen.</w:t>
            </w:r>
            <w:r w:rsidRPr="005251F3" w:rsidDel="00FD4D81">
              <w:rPr>
                <w:rFonts w:ascii="Arial" w:hAnsi="Arial" w:cs="Arial"/>
                <w:sz w:val="20"/>
                <w:szCs w:val="20"/>
              </w:rPr>
              <w:t xml:space="preserve"> </w:t>
            </w:r>
          </w:p>
        </w:tc>
      </w:tr>
      <w:tr w:rsidR="00D02D6C" w:rsidRPr="005251F3" w:rsidTr="00D10BBC">
        <w:trPr>
          <w:cantSplit/>
        </w:trPr>
        <w:tc>
          <w:tcPr>
            <w:tcW w:w="1701" w:type="dxa"/>
            <w:shd w:val="clear" w:color="auto" w:fill="auto"/>
          </w:tcPr>
          <w:p w:rsidR="00D02D6C" w:rsidRPr="005251F3" w:rsidRDefault="00D02D6C" w:rsidP="00EC6527">
            <w:pPr>
              <w:spacing w:before="80" w:line="276" w:lineRule="auto"/>
              <w:jc w:val="both"/>
              <w:rPr>
                <w:rFonts w:ascii="Arial" w:hAnsi="Arial" w:cs="Arial"/>
                <w:b/>
                <w:sz w:val="20"/>
                <w:szCs w:val="20"/>
              </w:rPr>
            </w:pPr>
          </w:p>
        </w:tc>
        <w:tc>
          <w:tcPr>
            <w:tcW w:w="7550" w:type="dxa"/>
            <w:shd w:val="clear" w:color="auto" w:fill="auto"/>
          </w:tcPr>
          <w:p w:rsidR="002E7516" w:rsidRPr="005251F3" w:rsidRDefault="00D02D6C" w:rsidP="005D4EFE">
            <w:pPr>
              <w:spacing w:before="80" w:line="276" w:lineRule="auto"/>
              <w:jc w:val="both"/>
              <w:rPr>
                <w:rFonts w:ascii="Arial" w:hAnsi="Arial" w:cs="Arial"/>
                <w:sz w:val="20"/>
                <w:szCs w:val="20"/>
              </w:rPr>
            </w:pPr>
            <w:r w:rsidRPr="005251F3">
              <w:rPr>
                <w:rFonts w:ascii="Arial" w:hAnsi="Arial" w:cs="Arial"/>
                <w:sz w:val="20"/>
                <w:szCs w:val="20"/>
              </w:rPr>
              <w:t>Besondere Leistungen</w:t>
            </w:r>
            <w:r w:rsidR="00C02F5C" w:rsidRPr="005251F3">
              <w:rPr>
                <w:rFonts w:ascii="Arial" w:hAnsi="Arial" w:cs="Arial"/>
                <w:sz w:val="20"/>
                <w:szCs w:val="20"/>
              </w:rPr>
              <w:t xml:space="preserve"> </w:t>
            </w:r>
            <w:r w:rsidRPr="005251F3">
              <w:rPr>
                <w:rFonts w:ascii="Arial" w:hAnsi="Arial" w:cs="Arial"/>
                <w:sz w:val="20"/>
                <w:szCs w:val="20"/>
              </w:rPr>
              <w:t>sind nach Bedarf projektspezifisch zu vereinbaren und in der Anlage zu §</w:t>
            </w:r>
            <w:r w:rsidR="005D4EFE" w:rsidRPr="005251F3">
              <w:rPr>
                <w:rFonts w:ascii="Arial" w:hAnsi="Arial" w:cs="Arial"/>
                <w:sz w:val="20"/>
                <w:szCs w:val="20"/>
              </w:rPr>
              <w:t> </w:t>
            </w:r>
            <w:r w:rsidRPr="005251F3">
              <w:rPr>
                <w:rFonts w:ascii="Arial" w:hAnsi="Arial" w:cs="Arial"/>
                <w:sz w:val="20"/>
                <w:szCs w:val="20"/>
              </w:rPr>
              <w:t>6 zu beschreiben.</w:t>
            </w:r>
          </w:p>
        </w:tc>
      </w:tr>
    </w:tbl>
    <w:p w:rsidR="00EC3F37" w:rsidRPr="005251F3" w:rsidRDefault="00EC3F37" w:rsidP="00EC6527">
      <w:pPr>
        <w:spacing w:line="276" w:lineRule="auto"/>
        <w:jc w:val="both"/>
        <w:rPr>
          <w:rFonts w:ascii="Arial" w:hAnsi="Arial" w:cs="Arial"/>
          <w:sz w:val="20"/>
          <w:szCs w:val="20"/>
        </w:rPr>
      </w:pPr>
    </w:p>
    <w:p w:rsidR="00876BB1" w:rsidRPr="005251F3" w:rsidRDefault="00876BB1" w:rsidP="00EC6527">
      <w:pPr>
        <w:spacing w:line="276" w:lineRule="auto"/>
        <w:jc w:val="both"/>
        <w:rPr>
          <w:rFonts w:ascii="Arial" w:hAnsi="Arial" w:cs="Arial"/>
          <w:sz w:val="20"/>
          <w:szCs w:val="20"/>
        </w:rPr>
      </w:pPr>
    </w:p>
    <w:tbl>
      <w:tblPr>
        <w:tblW w:w="9251" w:type="dxa"/>
        <w:tblLayout w:type="fixed"/>
        <w:tblLook w:val="01E0" w:firstRow="1" w:lastRow="1" w:firstColumn="1" w:lastColumn="1" w:noHBand="0" w:noVBand="0"/>
      </w:tblPr>
      <w:tblGrid>
        <w:gridCol w:w="1701"/>
        <w:gridCol w:w="7550"/>
      </w:tblGrid>
      <w:tr w:rsidR="00876BB1" w:rsidRPr="005251F3" w:rsidTr="00C118F7">
        <w:trPr>
          <w:cantSplit/>
        </w:trPr>
        <w:tc>
          <w:tcPr>
            <w:tcW w:w="1701" w:type="dxa"/>
            <w:shd w:val="clear" w:color="auto" w:fill="auto"/>
          </w:tcPr>
          <w:p w:rsidR="00876BB1" w:rsidRPr="005251F3" w:rsidRDefault="00876BB1" w:rsidP="00876BB1">
            <w:pPr>
              <w:spacing w:before="80" w:line="276" w:lineRule="auto"/>
              <w:jc w:val="both"/>
              <w:rPr>
                <w:rFonts w:ascii="Arial" w:hAnsi="Arial" w:cs="Arial"/>
                <w:b/>
                <w:sz w:val="20"/>
                <w:szCs w:val="20"/>
              </w:rPr>
            </w:pPr>
            <w:r w:rsidRPr="005251F3">
              <w:rPr>
                <w:rFonts w:ascii="Arial" w:hAnsi="Arial" w:cs="Arial"/>
                <w:b/>
                <w:sz w:val="20"/>
                <w:szCs w:val="20"/>
              </w:rPr>
              <w:t xml:space="preserve">Zu § 12 AVB </w:t>
            </w:r>
          </w:p>
        </w:tc>
        <w:tc>
          <w:tcPr>
            <w:tcW w:w="7550" w:type="dxa"/>
            <w:shd w:val="clear" w:color="auto" w:fill="auto"/>
          </w:tcPr>
          <w:p w:rsidR="00876BB1" w:rsidRPr="005251F3" w:rsidRDefault="00876BB1" w:rsidP="00876BB1">
            <w:pPr>
              <w:spacing w:before="80" w:line="276" w:lineRule="auto"/>
              <w:jc w:val="both"/>
              <w:rPr>
                <w:rFonts w:ascii="Arial" w:hAnsi="Arial" w:cs="Arial"/>
                <w:sz w:val="20"/>
                <w:szCs w:val="20"/>
              </w:rPr>
            </w:pPr>
            <w:r w:rsidRPr="005251F3">
              <w:rPr>
                <w:rFonts w:ascii="Arial" w:hAnsi="Arial" w:cs="Arial"/>
                <w:b/>
                <w:sz w:val="20"/>
                <w:szCs w:val="20"/>
              </w:rPr>
              <w:t>Zahlungen</w:t>
            </w:r>
          </w:p>
          <w:p w:rsidR="00876BB1" w:rsidRPr="005251F3" w:rsidRDefault="00876BB1" w:rsidP="00876BB1">
            <w:pPr>
              <w:spacing w:before="80" w:line="276" w:lineRule="auto"/>
              <w:jc w:val="both"/>
              <w:rPr>
                <w:rFonts w:ascii="Arial" w:hAnsi="Arial" w:cs="Arial"/>
                <w:sz w:val="20"/>
                <w:szCs w:val="20"/>
              </w:rPr>
            </w:pPr>
            <w:r w:rsidRPr="005251F3">
              <w:rPr>
                <w:rFonts w:ascii="Arial" w:hAnsi="Arial" w:cs="Arial"/>
                <w:sz w:val="20"/>
                <w:szCs w:val="20"/>
              </w:rPr>
              <w:t>Der Sicherheitseinbehalt wird nach Abnahme der Leistungen in Verbindung mit der Teil-/Schlusszahlung ausgezahlt.</w:t>
            </w:r>
          </w:p>
        </w:tc>
      </w:tr>
      <w:tr w:rsidR="00876BB1" w:rsidRPr="005251F3" w:rsidTr="00C118F7">
        <w:trPr>
          <w:cantSplit/>
        </w:trPr>
        <w:tc>
          <w:tcPr>
            <w:tcW w:w="1701" w:type="dxa"/>
            <w:shd w:val="clear" w:color="auto" w:fill="auto"/>
          </w:tcPr>
          <w:p w:rsidR="00876BB1" w:rsidRPr="005251F3" w:rsidRDefault="00876BB1" w:rsidP="00876BB1">
            <w:pPr>
              <w:spacing w:before="80" w:line="276" w:lineRule="auto"/>
              <w:jc w:val="both"/>
              <w:rPr>
                <w:rFonts w:ascii="Arial" w:hAnsi="Arial" w:cs="Arial"/>
                <w:b/>
                <w:sz w:val="20"/>
                <w:szCs w:val="20"/>
              </w:rPr>
            </w:pPr>
          </w:p>
        </w:tc>
        <w:tc>
          <w:tcPr>
            <w:tcW w:w="7550" w:type="dxa"/>
            <w:shd w:val="clear" w:color="auto" w:fill="auto"/>
          </w:tcPr>
          <w:p w:rsidR="00876BB1" w:rsidRPr="005251F3" w:rsidRDefault="00876BB1" w:rsidP="00876BB1">
            <w:pPr>
              <w:spacing w:before="80" w:line="276" w:lineRule="auto"/>
              <w:jc w:val="both"/>
              <w:rPr>
                <w:rFonts w:ascii="Arial" w:hAnsi="Arial" w:cs="Arial"/>
                <w:b/>
                <w:sz w:val="20"/>
                <w:szCs w:val="20"/>
              </w:rPr>
            </w:pPr>
          </w:p>
        </w:tc>
      </w:tr>
      <w:tr w:rsidR="00876BB1" w:rsidRPr="00EC6527" w:rsidTr="00C118F7">
        <w:trPr>
          <w:cantSplit/>
        </w:trPr>
        <w:tc>
          <w:tcPr>
            <w:tcW w:w="1701" w:type="dxa"/>
            <w:shd w:val="clear" w:color="auto" w:fill="auto"/>
          </w:tcPr>
          <w:p w:rsidR="00876BB1" w:rsidRPr="005251F3" w:rsidRDefault="00876BB1" w:rsidP="00876BB1">
            <w:pPr>
              <w:spacing w:before="80" w:line="276" w:lineRule="auto"/>
              <w:jc w:val="both"/>
              <w:rPr>
                <w:rFonts w:ascii="Arial" w:hAnsi="Arial" w:cs="Arial"/>
                <w:b/>
                <w:sz w:val="20"/>
                <w:szCs w:val="20"/>
              </w:rPr>
            </w:pPr>
            <w:r w:rsidRPr="005251F3">
              <w:rPr>
                <w:rFonts w:ascii="Arial" w:hAnsi="Arial" w:cs="Arial"/>
                <w:b/>
                <w:sz w:val="20"/>
                <w:szCs w:val="20"/>
              </w:rPr>
              <w:t>Zu § 13 AVB</w:t>
            </w:r>
          </w:p>
          <w:p w:rsidR="00876BB1" w:rsidRPr="005251F3" w:rsidRDefault="00876BB1" w:rsidP="00876BB1">
            <w:pPr>
              <w:spacing w:before="80" w:line="276" w:lineRule="auto"/>
              <w:ind w:firstLine="426"/>
              <w:jc w:val="both"/>
              <w:rPr>
                <w:rFonts w:ascii="Arial" w:hAnsi="Arial" w:cs="Arial"/>
                <w:b/>
                <w:sz w:val="20"/>
                <w:szCs w:val="20"/>
              </w:rPr>
            </w:pPr>
            <w:r w:rsidRPr="005251F3">
              <w:rPr>
                <w:rFonts w:ascii="Arial" w:hAnsi="Arial" w:cs="Arial"/>
                <w:b/>
                <w:sz w:val="20"/>
                <w:szCs w:val="20"/>
              </w:rPr>
              <w:t xml:space="preserve">Zu 13.1 </w:t>
            </w:r>
          </w:p>
        </w:tc>
        <w:tc>
          <w:tcPr>
            <w:tcW w:w="7550" w:type="dxa"/>
            <w:shd w:val="clear" w:color="auto" w:fill="auto"/>
          </w:tcPr>
          <w:p w:rsidR="00876BB1" w:rsidRPr="005251F3" w:rsidRDefault="00876BB1" w:rsidP="00876BB1">
            <w:pPr>
              <w:pStyle w:val="Kommentartext"/>
              <w:spacing w:before="80" w:after="80" w:line="276" w:lineRule="auto"/>
              <w:jc w:val="both"/>
              <w:rPr>
                <w:rFonts w:cs="Arial"/>
              </w:rPr>
            </w:pPr>
            <w:r w:rsidRPr="005251F3">
              <w:rPr>
                <w:rFonts w:cs="Arial"/>
                <w:b/>
              </w:rPr>
              <w:t>Kündigung durch den Auftraggeber</w:t>
            </w:r>
          </w:p>
          <w:p w:rsidR="00876BB1" w:rsidRPr="005251F3" w:rsidRDefault="00876BB1" w:rsidP="00876BB1">
            <w:pPr>
              <w:pStyle w:val="Kommentartext"/>
              <w:spacing w:before="80" w:after="80" w:line="276" w:lineRule="auto"/>
              <w:jc w:val="both"/>
              <w:rPr>
                <w:rFonts w:cs="Arial"/>
              </w:rPr>
            </w:pPr>
            <w:r w:rsidRPr="005251F3">
              <w:rPr>
                <w:rFonts w:cs="Arial"/>
              </w:rPr>
              <w:t xml:space="preserve">Eine Kündigung bedarf in jedem Falle der juristischen Klärung. </w:t>
            </w:r>
          </w:p>
          <w:p w:rsidR="00876BB1" w:rsidRPr="005251F3" w:rsidRDefault="00876BB1" w:rsidP="00876BB1">
            <w:pPr>
              <w:pStyle w:val="Kommentartext"/>
              <w:spacing w:after="80" w:line="276" w:lineRule="auto"/>
              <w:jc w:val="both"/>
              <w:rPr>
                <w:rFonts w:cs="Arial"/>
              </w:rPr>
            </w:pPr>
            <w:r w:rsidRPr="005251F3">
              <w:rPr>
                <w:rFonts w:cs="Arial"/>
              </w:rPr>
              <w:t>Kündigungsgründe können z.</w:t>
            </w:r>
            <w:r w:rsidR="0005497E" w:rsidRPr="005251F3">
              <w:rPr>
                <w:rFonts w:cs="Arial"/>
              </w:rPr>
              <w:t xml:space="preserve"> </w:t>
            </w:r>
            <w:r w:rsidRPr="005251F3">
              <w:rPr>
                <w:rFonts w:cs="Arial"/>
              </w:rPr>
              <w:t>B. vorliegen, wenn der Auftragnehmer</w:t>
            </w:r>
          </w:p>
          <w:p w:rsidR="00876BB1" w:rsidRPr="005251F3" w:rsidRDefault="00876BB1" w:rsidP="00876BB1">
            <w:pPr>
              <w:pStyle w:val="Kommentartext"/>
              <w:numPr>
                <w:ilvl w:val="0"/>
                <w:numId w:val="14"/>
              </w:numPr>
              <w:spacing w:line="276" w:lineRule="auto"/>
              <w:jc w:val="both"/>
              <w:rPr>
                <w:rFonts w:cs="Arial"/>
              </w:rPr>
            </w:pPr>
            <w:r w:rsidRPr="005251F3">
              <w:rPr>
                <w:rFonts w:cs="Arial"/>
              </w:rPr>
              <w:t xml:space="preserve">die vertraglichen Ziele (die Quantitäts- und Qualitätsziele, die Kostenziele, die Termine/Vertragsfristen) nicht einhält, ohne daran begründet gehindert zu sein, </w:t>
            </w:r>
          </w:p>
          <w:p w:rsidR="00876BB1" w:rsidRPr="005251F3" w:rsidRDefault="00876BB1" w:rsidP="00876BB1">
            <w:pPr>
              <w:pStyle w:val="Kommentartext"/>
              <w:numPr>
                <w:ilvl w:val="0"/>
                <w:numId w:val="14"/>
              </w:numPr>
              <w:spacing w:line="276" w:lineRule="auto"/>
              <w:jc w:val="both"/>
              <w:rPr>
                <w:rFonts w:cs="Arial"/>
              </w:rPr>
            </w:pPr>
            <w:r w:rsidRPr="005251F3">
              <w:rPr>
                <w:rFonts w:cs="Arial"/>
              </w:rPr>
              <w:t xml:space="preserve">erkannt hat, dass die Einhaltung der Vertragsziele gefährdet ist, den Auftraggeber jedoch darüber nicht unverzüglich unterrichtet hat, </w:t>
            </w:r>
          </w:p>
          <w:p w:rsidR="00876BB1" w:rsidRPr="005251F3" w:rsidRDefault="00876BB1" w:rsidP="00876BB1">
            <w:pPr>
              <w:pStyle w:val="Kommentartext"/>
              <w:numPr>
                <w:ilvl w:val="0"/>
                <w:numId w:val="14"/>
              </w:numPr>
              <w:spacing w:line="276" w:lineRule="auto"/>
              <w:jc w:val="both"/>
              <w:rPr>
                <w:rFonts w:cs="Arial"/>
              </w:rPr>
            </w:pPr>
            <w:r w:rsidRPr="005251F3">
              <w:rPr>
                <w:rFonts w:cs="Arial"/>
              </w:rPr>
              <w:t>seine Tätigkeit nicht rechtzeitig aufnimmt,</w:t>
            </w:r>
          </w:p>
          <w:p w:rsidR="00876BB1" w:rsidRPr="005251F3" w:rsidRDefault="00876BB1" w:rsidP="00876BB1">
            <w:pPr>
              <w:pStyle w:val="Kommentartext"/>
              <w:numPr>
                <w:ilvl w:val="0"/>
                <w:numId w:val="14"/>
              </w:numPr>
              <w:spacing w:line="276" w:lineRule="auto"/>
              <w:jc w:val="both"/>
              <w:rPr>
                <w:rFonts w:cs="Arial"/>
              </w:rPr>
            </w:pPr>
            <w:r w:rsidRPr="005251F3">
              <w:rPr>
                <w:rFonts w:cs="Arial"/>
              </w:rPr>
              <w:t xml:space="preserve">mit seiner Leistungserbringung in Verzug gerät (Schuldnerverzug), </w:t>
            </w:r>
          </w:p>
          <w:p w:rsidR="00876BB1" w:rsidRPr="005251F3" w:rsidRDefault="00876BB1" w:rsidP="00876BB1">
            <w:pPr>
              <w:pStyle w:val="Kommentartext"/>
              <w:numPr>
                <w:ilvl w:val="0"/>
                <w:numId w:val="14"/>
              </w:numPr>
              <w:spacing w:line="276" w:lineRule="auto"/>
              <w:jc w:val="both"/>
              <w:rPr>
                <w:rFonts w:cs="Arial"/>
              </w:rPr>
            </w:pPr>
            <w:r w:rsidRPr="005251F3">
              <w:rPr>
                <w:rFonts w:cs="Arial"/>
              </w:rPr>
              <w:t xml:space="preserve">ohne vorher eingeholte Zustimmung des Auftraggebers Leistungen von Dritten (Nachunternehmern) oder von Mitarbeitern seines Unternehmens/Büros ausführen lässt, die nicht im gemeinsam abgestimmten Mitarbeiterverzeichnis zum Vertrag aufgeführt sind, </w:t>
            </w:r>
          </w:p>
          <w:p w:rsidR="00876BB1" w:rsidRPr="005251F3" w:rsidRDefault="00876BB1" w:rsidP="00876BB1">
            <w:pPr>
              <w:pStyle w:val="Kommentartext"/>
              <w:numPr>
                <w:ilvl w:val="0"/>
                <w:numId w:val="14"/>
              </w:numPr>
              <w:spacing w:line="276" w:lineRule="auto"/>
              <w:jc w:val="both"/>
              <w:rPr>
                <w:rFonts w:cs="Arial"/>
              </w:rPr>
            </w:pPr>
            <w:r w:rsidRPr="005251F3">
              <w:rPr>
                <w:rFonts w:cs="Arial"/>
              </w:rPr>
              <w:t>in sonstiger Weise wiederholt oder gravierend gegen die ihm vertraglich obliegenden Verpflichtungen verstößt,</w:t>
            </w:r>
          </w:p>
          <w:p w:rsidR="00876BB1" w:rsidRPr="005251F3" w:rsidRDefault="00876BB1" w:rsidP="00876BB1">
            <w:pPr>
              <w:pStyle w:val="Kommentartext"/>
              <w:spacing w:line="276" w:lineRule="auto"/>
              <w:ind w:left="360"/>
              <w:jc w:val="both"/>
              <w:rPr>
                <w:rFonts w:cs="Arial"/>
              </w:rPr>
            </w:pPr>
            <w:r w:rsidRPr="005251F3">
              <w:rPr>
                <w:rFonts w:cs="Arial"/>
              </w:rPr>
              <w:t>und</w:t>
            </w:r>
          </w:p>
          <w:p w:rsidR="00876BB1" w:rsidRPr="005251F3" w:rsidRDefault="00876BB1" w:rsidP="00876BB1">
            <w:pPr>
              <w:pStyle w:val="Kommentartext"/>
              <w:numPr>
                <w:ilvl w:val="0"/>
                <w:numId w:val="14"/>
              </w:numPr>
              <w:spacing w:line="276" w:lineRule="auto"/>
              <w:jc w:val="both"/>
              <w:rPr>
                <w:rFonts w:cs="Arial"/>
              </w:rPr>
            </w:pPr>
            <w:r w:rsidRPr="005251F3">
              <w:rPr>
                <w:rFonts w:cs="Arial"/>
              </w:rPr>
              <w:t>die jeweils dazu vom Auftraggeber gesetzte angemessene Frist mit Kündigungsandrohung zur Einhaltung, Nachholung oder Nacherfüllung seiner Verpflichtungen fruchtlos hat verstreichen lassen.</w:t>
            </w:r>
          </w:p>
          <w:p w:rsidR="00876BB1" w:rsidRPr="00EC6527" w:rsidRDefault="00876BB1" w:rsidP="00876BB1">
            <w:pPr>
              <w:pStyle w:val="Kommentartext"/>
              <w:spacing w:beforeLines="80" w:before="192" w:line="276" w:lineRule="auto"/>
              <w:jc w:val="both"/>
              <w:rPr>
                <w:rFonts w:cs="Arial"/>
              </w:rPr>
            </w:pPr>
            <w:r w:rsidRPr="005251F3">
              <w:rPr>
                <w:rFonts w:cs="Arial"/>
              </w:rPr>
              <w:t>Wird der Vertrag mit dem Auftragnehmer gekündigt, so ist auf eine geeignete Trennung zwischen der durch den gekündigten Auftragnehmer erbrachten und ggf. noch zu erbringenden Leistung und der neu zu beauftragenden Leistung zu achten.</w:t>
            </w:r>
          </w:p>
        </w:tc>
      </w:tr>
    </w:tbl>
    <w:p w:rsidR="00876BB1" w:rsidRPr="00EC6527" w:rsidRDefault="00876BB1" w:rsidP="00EC6527">
      <w:pPr>
        <w:spacing w:line="276" w:lineRule="auto"/>
        <w:jc w:val="both"/>
        <w:rPr>
          <w:rFonts w:ascii="Arial" w:hAnsi="Arial" w:cs="Arial"/>
          <w:sz w:val="20"/>
          <w:szCs w:val="20"/>
        </w:rPr>
      </w:pPr>
    </w:p>
    <w:sectPr w:rsidR="00876BB1" w:rsidRPr="00EC6527" w:rsidSect="007E67F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6A5" w:rsidRDefault="00DD36A5">
      <w:r>
        <w:separator/>
      </w:r>
    </w:p>
  </w:endnote>
  <w:endnote w:type="continuationSeparator" w:id="0">
    <w:p w:rsidR="00DD36A5" w:rsidRDefault="00DD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55">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DD36A5" w:rsidRPr="0004484D" w:rsidTr="004B0C15">
      <w:tc>
        <w:tcPr>
          <w:tcW w:w="4605" w:type="dxa"/>
          <w:shd w:val="clear" w:color="auto" w:fill="auto"/>
        </w:tcPr>
        <w:p w:rsidR="00DD36A5" w:rsidRPr="0004484D" w:rsidRDefault="00DD36A5" w:rsidP="00E63045">
          <w:pPr>
            <w:pStyle w:val="Fuzeile"/>
            <w:rPr>
              <w:rStyle w:val="Seitenzahl"/>
              <w:sz w:val="12"/>
              <w:szCs w:val="12"/>
            </w:rPr>
          </w:pPr>
          <w:r w:rsidRPr="0004484D">
            <w:rPr>
              <w:rStyle w:val="Seitenzahl"/>
              <w:rFonts w:ascii="Arial" w:hAnsi="Arial" w:cs="Arial"/>
              <w:b/>
              <w:sz w:val="16"/>
              <w:szCs w:val="16"/>
            </w:rPr>
            <w:fldChar w:fldCharType="begin"/>
          </w:r>
          <w:r w:rsidRPr="0004484D">
            <w:rPr>
              <w:rStyle w:val="Seitenzahl"/>
              <w:rFonts w:ascii="Arial" w:hAnsi="Arial" w:cs="Arial"/>
              <w:b/>
              <w:sz w:val="16"/>
              <w:szCs w:val="16"/>
            </w:rPr>
            <w:instrText xml:space="preserve"> PAGE </w:instrText>
          </w:r>
          <w:r w:rsidRPr="0004484D">
            <w:rPr>
              <w:rStyle w:val="Seitenzahl"/>
              <w:rFonts w:ascii="Arial" w:hAnsi="Arial" w:cs="Arial"/>
              <w:b/>
              <w:sz w:val="16"/>
              <w:szCs w:val="16"/>
            </w:rPr>
            <w:fldChar w:fldCharType="separate"/>
          </w:r>
          <w:r w:rsidRPr="0004484D">
            <w:rPr>
              <w:rStyle w:val="Seitenzahl"/>
              <w:rFonts w:ascii="Arial" w:hAnsi="Arial" w:cs="Arial"/>
              <w:b/>
              <w:noProof/>
              <w:sz w:val="16"/>
              <w:szCs w:val="16"/>
            </w:rPr>
            <w:t>6</w:t>
          </w:r>
          <w:r w:rsidRPr="0004484D">
            <w:rPr>
              <w:rStyle w:val="Seitenzahl"/>
              <w:rFonts w:ascii="Arial" w:hAnsi="Arial" w:cs="Arial"/>
              <w:b/>
              <w:sz w:val="16"/>
              <w:szCs w:val="16"/>
            </w:rPr>
            <w:fldChar w:fldCharType="end"/>
          </w:r>
        </w:p>
      </w:tc>
      <w:tc>
        <w:tcPr>
          <w:tcW w:w="4605" w:type="dxa"/>
          <w:shd w:val="clear" w:color="auto" w:fill="auto"/>
        </w:tcPr>
        <w:p w:rsidR="00DD36A5" w:rsidRPr="0004484D" w:rsidRDefault="00DD36A5" w:rsidP="004B0C15">
          <w:pPr>
            <w:pStyle w:val="Fuzeile"/>
            <w:jc w:val="right"/>
          </w:pPr>
          <w:r w:rsidRPr="0004484D">
            <w:rPr>
              <w:rFonts w:ascii="Univers 55" w:hAnsi="Univers 55"/>
              <w:sz w:val="12"/>
              <w:szCs w:val="12"/>
            </w:rPr>
            <w:t>eingeführt mit Erlass des BMVBS vom 21.09.2010, Az.: B10-8111.1/0</w:t>
          </w:r>
        </w:p>
        <w:p w:rsidR="00DD36A5" w:rsidRPr="0004484D" w:rsidRDefault="00DD36A5" w:rsidP="004B0C15">
          <w:pPr>
            <w:pStyle w:val="Fuzeile"/>
            <w:jc w:val="right"/>
            <w:rPr>
              <w:rStyle w:val="Seitenzahl"/>
              <w:rFonts w:ascii="Arial" w:hAnsi="Arial" w:cs="Arial"/>
              <w:b/>
              <w:sz w:val="16"/>
              <w:szCs w:val="16"/>
            </w:rPr>
          </w:pPr>
        </w:p>
      </w:tc>
    </w:tr>
  </w:tbl>
  <w:p w:rsidR="00DD36A5" w:rsidRPr="0004484D" w:rsidRDefault="00DD36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829"/>
      <w:gridCol w:w="3241"/>
    </w:tblGrid>
    <w:tr w:rsidR="00DD36A5" w:rsidRPr="00BA6359" w:rsidTr="007E67FE">
      <w:tc>
        <w:tcPr>
          <w:tcW w:w="5920" w:type="dxa"/>
          <w:shd w:val="clear" w:color="auto" w:fill="auto"/>
        </w:tcPr>
        <w:p w:rsidR="00DD36A5" w:rsidRPr="005251F3" w:rsidRDefault="00DD36A5" w:rsidP="004D1C0A">
          <w:pPr>
            <w:pStyle w:val="Fuzeile"/>
            <w:rPr>
              <w:rStyle w:val="Seitenzahl"/>
              <w:rFonts w:ascii="Arial" w:hAnsi="Arial" w:cs="Arial"/>
              <w:sz w:val="16"/>
              <w:szCs w:val="16"/>
            </w:rPr>
          </w:pPr>
          <w:r w:rsidRPr="005251F3">
            <w:rPr>
              <w:rFonts w:ascii="Arial" w:hAnsi="Arial" w:cs="Arial"/>
              <w:bCs/>
              <w:sz w:val="16"/>
              <w:szCs w:val="16"/>
            </w:rPr>
            <w:t xml:space="preserve">© VHF Bayern – </w:t>
          </w:r>
          <w:r w:rsidR="000514A5">
            <w:rPr>
              <w:rFonts w:ascii="Arial" w:hAnsi="Arial" w:cs="Arial"/>
              <w:bCs/>
              <w:sz w:val="16"/>
              <w:szCs w:val="16"/>
            </w:rPr>
            <w:t xml:space="preserve">Stand </w:t>
          </w:r>
          <w:bookmarkStart w:id="1" w:name="_GoBack"/>
          <w:bookmarkEnd w:id="1"/>
          <w:r w:rsidRPr="005251F3">
            <w:rPr>
              <w:rFonts w:ascii="Arial" w:hAnsi="Arial" w:cs="Arial"/>
              <w:bCs/>
              <w:sz w:val="16"/>
              <w:szCs w:val="16"/>
            </w:rPr>
            <w:t>Mai 2021</w:t>
          </w:r>
        </w:p>
      </w:tc>
      <w:tc>
        <w:tcPr>
          <w:tcW w:w="3290" w:type="dxa"/>
          <w:shd w:val="clear" w:color="auto" w:fill="auto"/>
        </w:tcPr>
        <w:p w:rsidR="00DD36A5" w:rsidRPr="00BA6359" w:rsidRDefault="00DD36A5" w:rsidP="00635B1D">
          <w:pPr>
            <w:pStyle w:val="Fuzeile"/>
            <w:jc w:val="right"/>
            <w:rPr>
              <w:rStyle w:val="Seitenzahl"/>
              <w:rFonts w:ascii="Arial" w:hAnsi="Arial" w:cs="Arial"/>
              <w:sz w:val="16"/>
              <w:szCs w:val="16"/>
            </w:rPr>
          </w:pPr>
          <w:r w:rsidRPr="005251F3">
            <w:rPr>
              <w:rFonts w:ascii="Arial" w:hAnsi="Arial" w:cs="Arial"/>
              <w:bCs/>
              <w:sz w:val="16"/>
              <w:szCs w:val="16"/>
            </w:rPr>
            <w:fldChar w:fldCharType="begin"/>
          </w:r>
          <w:r w:rsidRPr="005251F3">
            <w:rPr>
              <w:rFonts w:ascii="Arial" w:hAnsi="Arial" w:cs="Arial"/>
              <w:bCs/>
              <w:sz w:val="16"/>
              <w:szCs w:val="16"/>
            </w:rPr>
            <w:instrText>PAGE</w:instrText>
          </w:r>
          <w:r w:rsidRPr="005251F3">
            <w:rPr>
              <w:rFonts w:ascii="Arial" w:hAnsi="Arial" w:cs="Arial"/>
              <w:bCs/>
              <w:sz w:val="16"/>
              <w:szCs w:val="16"/>
            </w:rPr>
            <w:fldChar w:fldCharType="separate"/>
          </w:r>
          <w:r w:rsidR="000514A5">
            <w:rPr>
              <w:rFonts w:ascii="Arial" w:hAnsi="Arial" w:cs="Arial"/>
              <w:bCs/>
              <w:noProof/>
              <w:sz w:val="16"/>
              <w:szCs w:val="16"/>
            </w:rPr>
            <w:t>1</w:t>
          </w:r>
          <w:r w:rsidRPr="005251F3">
            <w:rPr>
              <w:rFonts w:ascii="Arial" w:hAnsi="Arial" w:cs="Arial"/>
              <w:bCs/>
              <w:sz w:val="16"/>
              <w:szCs w:val="16"/>
            </w:rPr>
            <w:fldChar w:fldCharType="end"/>
          </w:r>
          <w:r w:rsidRPr="005251F3">
            <w:rPr>
              <w:rFonts w:ascii="Arial" w:hAnsi="Arial" w:cs="Arial"/>
              <w:bCs/>
              <w:sz w:val="16"/>
              <w:szCs w:val="16"/>
            </w:rPr>
            <w:t>/</w:t>
          </w:r>
          <w:r w:rsidRPr="005251F3">
            <w:rPr>
              <w:rFonts w:ascii="Arial" w:hAnsi="Arial" w:cs="Arial"/>
              <w:bCs/>
              <w:sz w:val="16"/>
              <w:szCs w:val="16"/>
            </w:rPr>
            <w:fldChar w:fldCharType="begin"/>
          </w:r>
          <w:r w:rsidRPr="005251F3">
            <w:rPr>
              <w:rFonts w:ascii="Arial" w:hAnsi="Arial" w:cs="Arial"/>
              <w:bCs/>
              <w:sz w:val="16"/>
              <w:szCs w:val="16"/>
            </w:rPr>
            <w:instrText>NUMPAGES</w:instrText>
          </w:r>
          <w:r w:rsidRPr="005251F3">
            <w:rPr>
              <w:rFonts w:ascii="Arial" w:hAnsi="Arial" w:cs="Arial"/>
              <w:bCs/>
              <w:sz w:val="16"/>
              <w:szCs w:val="16"/>
            </w:rPr>
            <w:fldChar w:fldCharType="separate"/>
          </w:r>
          <w:r w:rsidR="000514A5">
            <w:rPr>
              <w:rFonts w:ascii="Arial" w:hAnsi="Arial" w:cs="Arial"/>
              <w:bCs/>
              <w:noProof/>
              <w:sz w:val="16"/>
              <w:szCs w:val="16"/>
            </w:rPr>
            <w:t>10</w:t>
          </w:r>
          <w:r w:rsidRPr="005251F3">
            <w:rPr>
              <w:rFonts w:ascii="Arial" w:hAnsi="Arial" w:cs="Arial"/>
              <w:bCs/>
              <w:sz w:val="16"/>
              <w:szCs w:val="16"/>
            </w:rPr>
            <w:fldChar w:fldCharType="end"/>
          </w:r>
        </w:p>
      </w:tc>
    </w:tr>
  </w:tbl>
  <w:p w:rsidR="00DD36A5" w:rsidRPr="007E67FE" w:rsidRDefault="00DD36A5" w:rsidP="00936C7E">
    <w:pPr>
      <w:pStyle w:val="Fuzeile"/>
      <w:tabs>
        <w:tab w:val="clear" w:pos="4536"/>
        <w:tab w:val="clear" w:pos="9072"/>
        <w:tab w:val="left" w:pos="3631"/>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A5" w:rsidRDefault="000514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6A5" w:rsidRDefault="00DD36A5">
      <w:r>
        <w:separator/>
      </w:r>
    </w:p>
  </w:footnote>
  <w:footnote w:type="continuationSeparator" w:id="0">
    <w:p w:rsidR="00DD36A5" w:rsidRDefault="00DD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1E0" w:firstRow="1" w:lastRow="1" w:firstColumn="1" w:lastColumn="1" w:noHBand="0" w:noVBand="0"/>
    </w:tblPr>
    <w:tblGrid>
      <w:gridCol w:w="4606"/>
      <w:gridCol w:w="4606"/>
    </w:tblGrid>
    <w:tr w:rsidR="00DD36A5">
      <w:trPr>
        <w:trHeight w:val="87"/>
      </w:trPr>
      <w:tc>
        <w:tcPr>
          <w:tcW w:w="4606" w:type="dxa"/>
        </w:tcPr>
        <w:p w:rsidR="00DD36A5" w:rsidRDefault="00DD36A5" w:rsidP="00E63045">
          <w:pPr>
            <w:pStyle w:val="Kopfzeile"/>
            <w:rPr>
              <w:sz w:val="14"/>
            </w:rPr>
          </w:pPr>
          <w:r>
            <w:rPr>
              <w:b/>
              <w:sz w:val="14"/>
            </w:rPr>
            <w:t>Anhang 14</w:t>
          </w:r>
        </w:p>
      </w:tc>
      <w:tc>
        <w:tcPr>
          <w:tcW w:w="4606" w:type="dxa"/>
        </w:tcPr>
        <w:p w:rsidR="00DD36A5" w:rsidRPr="000651FD" w:rsidRDefault="00DD36A5" w:rsidP="00E63045">
          <w:pPr>
            <w:pStyle w:val="Kopfzeile"/>
            <w:jc w:val="right"/>
            <w:rPr>
              <w:b/>
              <w:sz w:val="14"/>
            </w:rPr>
          </w:pPr>
        </w:p>
      </w:tc>
    </w:tr>
    <w:tr w:rsidR="00DD36A5">
      <w:trPr>
        <w:trHeight w:val="87"/>
      </w:trPr>
      <w:tc>
        <w:tcPr>
          <w:tcW w:w="4606" w:type="dxa"/>
        </w:tcPr>
        <w:p w:rsidR="00DD36A5" w:rsidRDefault="00DD36A5" w:rsidP="00E63045">
          <w:pPr>
            <w:pStyle w:val="Kopfzeile"/>
            <w:rPr>
              <w:sz w:val="14"/>
            </w:rPr>
          </w:pPr>
          <w:r>
            <w:rPr>
              <w:b/>
              <w:sz w:val="14"/>
            </w:rPr>
            <w:t>BMVBW Jan 2011</w:t>
          </w:r>
        </w:p>
      </w:tc>
      <w:tc>
        <w:tcPr>
          <w:tcW w:w="4606" w:type="dxa"/>
        </w:tcPr>
        <w:p w:rsidR="00DD36A5" w:rsidRPr="000651FD" w:rsidRDefault="00DD36A5" w:rsidP="00E63045">
          <w:pPr>
            <w:pStyle w:val="Kopfzeile"/>
            <w:jc w:val="right"/>
            <w:rPr>
              <w:b/>
              <w:sz w:val="14"/>
            </w:rPr>
          </w:pPr>
        </w:p>
      </w:tc>
    </w:tr>
  </w:tbl>
  <w:p w:rsidR="00DD36A5" w:rsidRDefault="00DD36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2" w:type="dxa"/>
      <w:tblLayout w:type="fixed"/>
      <w:tblCellMar>
        <w:left w:w="70" w:type="dxa"/>
        <w:right w:w="70" w:type="dxa"/>
      </w:tblCellMar>
      <w:tblLook w:val="01E0" w:firstRow="1" w:lastRow="1" w:firstColumn="1" w:lastColumn="1" w:noHBand="0" w:noVBand="0"/>
    </w:tblPr>
    <w:tblGrid>
      <w:gridCol w:w="4606"/>
      <w:gridCol w:w="4606"/>
    </w:tblGrid>
    <w:tr w:rsidR="00DD36A5" w:rsidRPr="00EC6527" w:rsidTr="00D02D6C">
      <w:trPr>
        <w:trHeight w:val="240"/>
      </w:trPr>
      <w:tc>
        <w:tcPr>
          <w:tcW w:w="4606" w:type="dxa"/>
        </w:tcPr>
        <w:p w:rsidR="00DD36A5" w:rsidRPr="006909E8" w:rsidRDefault="00DD36A5" w:rsidP="007A3CBC">
          <w:pPr>
            <w:pStyle w:val="Kopfzeile"/>
            <w:rPr>
              <w:rFonts w:ascii="Arial" w:hAnsi="Arial" w:cs="Arial"/>
              <w:color w:val="000000"/>
              <w:sz w:val="16"/>
              <w:szCs w:val="16"/>
            </w:rPr>
          </w:pPr>
        </w:p>
      </w:tc>
      <w:tc>
        <w:tcPr>
          <w:tcW w:w="4606" w:type="dxa"/>
        </w:tcPr>
        <w:p w:rsidR="00DD36A5" w:rsidRPr="00EC6527" w:rsidRDefault="00DD36A5" w:rsidP="00D02D6C">
          <w:pPr>
            <w:pStyle w:val="Kopfzeile"/>
            <w:jc w:val="right"/>
            <w:rPr>
              <w:rFonts w:ascii="Arial" w:hAnsi="Arial" w:cs="Arial"/>
              <w:b/>
              <w:sz w:val="28"/>
              <w:szCs w:val="28"/>
            </w:rPr>
          </w:pPr>
          <w:r w:rsidRPr="00EC6527">
            <w:rPr>
              <w:rFonts w:ascii="Arial" w:hAnsi="Arial" w:cs="Arial"/>
              <w:b/>
              <w:sz w:val="28"/>
              <w:szCs w:val="28"/>
            </w:rPr>
            <w:t>VII.09.0</w:t>
          </w:r>
        </w:p>
        <w:p w:rsidR="00DD36A5" w:rsidRPr="00EC6527" w:rsidRDefault="00DD36A5" w:rsidP="00D02D6C">
          <w:pPr>
            <w:pStyle w:val="Kopfzeile"/>
            <w:jc w:val="right"/>
            <w:rPr>
              <w:rFonts w:ascii="Arial" w:hAnsi="Arial" w:cs="Arial"/>
              <w:sz w:val="16"/>
              <w:szCs w:val="16"/>
            </w:rPr>
          </w:pPr>
          <w:r w:rsidRPr="00EC6527">
            <w:rPr>
              <w:rFonts w:ascii="Arial" w:hAnsi="Arial" w:cs="Arial"/>
              <w:sz w:val="16"/>
              <w:szCs w:val="16"/>
            </w:rPr>
            <w:t>(Richtlinie Entscheidungsunterlage-Bau)</w:t>
          </w:r>
        </w:p>
      </w:tc>
    </w:tr>
  </w:tbl>
  <w:p w:rsidR="00DD36A5" w:rsidRPr="006909E8" w:rsidRDefault="00DD36A5" w:rsidP="00936C7E">
    <w:pPr>
      <w:pStyle w:val="Kopfzeile"/>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A5" w:rsidRDefault="00051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0E34210B"/>
    <w:multiLevelType w:val="hybridMultilevel"/>
    <w:tmpl w:val="DAAA3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4"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6"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1" w15:restartNumberingAfterBreak="0">
    <w:nsid w:val="5408754A"/>
    <w:multiLevelType w:val="hybridMultilevel"/>
    <w:tmpl w:val="F586C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57F2C2D"/>
    <w:multiLevelType w:val="hybridMultilevel"/>
    <w:tmpl w:val="E6BEB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24"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28" w15:restartNumberingAfterBreak="0">
    <w:nsid w:val="6A9E0B49"/>
    <w:multiLevelType w:val="hybridMultilevel"/>
    <w:tmpl w:val="5C1A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2"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num w:numId="1">
    <w:abstractNumId w:val="5"/>
  </w:num>
  <w:num w:numId="2">
    <w:abstractNumId w:val="19"/>
  </w:num>
  <w:num w:numId="3">
    <w:abstractNumId w:val="8"/>
  </w:num>
  <w:num w:numId="4">
    <w:abstractNumId w:val="17"/>
  </w:num>
  <w:num w:numId="5">
    <w:abstractNumId w:val="1"/>
  </w:num>
  <w:num w:numId="6">
    <w:abstractNumId w:val="26"/>
  </w:num>
  <w:num w:numId="7">
    <w:abstractNumId w:val="12"/>
  </w:num>
  <w:num w:numId="8">
    <w:abstractNumId w:val="7"/>
  </w:num>
  <w:num w:numId="9">
    <w:abstractNumId w:val="27"/>
  </w:num>
  <w:num w:numId="10">
    <w:abstractNumId w:val="3"/>
  </w:num>
  <w:num w:numId="11">
    <w:abstractNumId w:val="13"/>
  </w:num>
  <w:num w:numId="12">
    <w:abstractNumId w:val="14"/>
  </w:num>
  <w:num w:numId="13">
    <w:abstractNumId w:val="33"/>
  </w:num>
  <w:num w:numId="14">
    <w:abstractNumId w:val="20"/>
  </w:num>
  <w:num w:numId="15">
    <w:abstractNumId w:val="4"/>
  </w:num>
  <w:num w:numId="16">
    <w:abstractNumId w:val="25"/>
  </w:num>
  <w:num w:numId="17">
    <w:abstractNumId w:val="23"/>
  </w:num>
  <w:num w:numId="18">
    <w:abstractNumId w:val="24"/>
  </w:num>
  <w:num w:numId="19">
    <w:abstractNumId w:val="31"/>
  </w:num>
  <w:num w:numId="20">
    <w:abstractNumId w:val="32"/>
  </w:num>
  <w:num w:numId="21">
    <w:abstractNumId w:val="6"/>
  </w:num>
  <w:num w:numId="22">
    <w:abstractNumId w:val="29"/>
  </w:num>
  <w:num w:numId="23">
    <w:abstractNumId w:val="15"/>
  </w:num>
  <w:num w:numId="24">
    <w:abstractNumId w:val="18"/>
  </w:num>
  <w:num w:numId="25">
    <w:abstractNumId w:val="16"/>
  </w:num>
  <w:num w:numId="26">
    <w:abstractNumId w:val="30"/>
  </w:num>
  <w:num w:numId="27">
    <w:abstractNumId w:val="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0"/>
  </w:num>
  <w:num w:numId="31">
    <w:abstractNumId w:val="28"/>
  </w:num>
  <w:num w:numId="32">
    <w:abstractNumId w:val="21"/>
  </w:num>
  <w:num w:numId="33">
    <w:abstractNumId w:val="2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FE5EEDF1"/>
  </w:docVars>
  <w:rsids>
    <w:rsidRoot w:val="009A6FC7"/>
    <w:rsid w:val="000044FB"/>
    <w:rsid w:val="000105A0"/>
    <w:rsid w:val="00013F8D"/>
    <w:rsid w:val="0001757B"/>
    <w:rsid w:val="000177A8"/>
    <w:rsid w:val="00020C58"/>
    <w:rsid w:val="0002143D"/>
    <w:rsid w:val="000262CE"/>
    <w:rsid w:val="00026B62"/>
    <w:rsid w:val="0002701F"/>
    <w:rsid w:val="0003620C"/>
    <w:rsid w:val="00040AEB"/>
    <w:rsid w:val="0004177A"/>
    <w:rsid w:val="0004484D"/>
    <w:rsid w:val="000450F3"/>
    <w:rsid w:val="00045CD9"/>
    <w:rsid w:val="00047122"/>
    <w:rsid w:val="000472BF"/>
    <w:rsid w:val="000514A5"/>
    <w:rsid w:val="00051AAC"/>
    <w:rsid w:val="0005497E"/>
    <w:rsid w:val="00055426"/>
    <w:rsid w:val="00056A1F"/>
    <w:rsid w:val="00060907"/>
    <w:rsid w:val="00061C42"/>
    <w:rsid w:val="00061E91"/>
    <w:rsid w:val="000621ED"/>
    <w:rsid w:val="000651FD"/>
    <w:rsid w:val="00072624"/>
    <w:rsid w:val="000752AA"/>
    <w:rsid w:val="000810F2"/>
    <w:rsid w:val="000817AE"/>
    <w:rsid w:val="00082FAF"/>
    <w:rsid w:val="00090D20"/>
    <w:rsid w:val="00091D55"/>
    <w:rsid w:val="000976E5"/>
    <w:rsid w:val="000A1DA4"/>
    <w:rsid w:val="000A1F60"/>
    <w:rsid w:val="000A463C"/>
    <w:rsid w:val="000B2571"/>
    <w:rsid w:val="000C0CF9"/>
    <w:rsid w:val="000C16F1"/>
    <w:rsid w:val="000C2F32"/>
    <w:rsid w:val="000C6D13"/>
    <w:rsid w:val="000D0BE0"/>
    <w:rsid w:val="000D0F2D"/>
    <w:rsid w:val="000D237E"/>
    <w:rsid w:val="000D3245"/>
    <w:rsid w:val="000D3FFD"/>
    <w:rsid w:val="000D5089"/>
    <w:rsid w:val="000D5645"/>
    <w:rsid w:val="000E0299"/>
    <w:rsid w:val="000E0953"/>
    <w:rsid w:val="000E4F84"/>
    <w:rsid w:val="000F111E"/>
    <w:rsid w:val="000F4392"/>
    <w:rsid w:val="000F44A0"/>
    <w:rsid w:val="00100017"/>
    <w:rsid w:val="001047D3"/>
    <w:rsid w:val="00106D91"/>
    <w:rsid w:val="001114A7"/>
    <w:rsid w:val="00111E96"/>
    <w:rsid w:val="00111FC1"/>
    <w:rsid w:val="001126E9"/>
    <w:rsid w:val="0011307F"/>
    <w:rsid w:val="00114926"/>
    <w:rsid w:val="00117790"/>
    <w:rsid w:val="001206D7"/>
    <w:rsid w:val="0012148C"/>
    <w:rsid w:val="00122668"/>
    <w:rsid w:val="00125E61"/>
    <w:rsid w:val="00126056"/>
    <w:rsid w:val="00131FA2"/>
    <w:rsid w:val="00137B3C"/>
    <w:rsid w:val="00145869"/>
    <w:rsid w:val="00147825"/>
    <w:rsid w:val="001544C1"/>
    <w:rsid w:val="00155BD1"/>
    <w:rsid w:val="00156727"/>
    <w:rsid w:val="00157E2E"/>
    <w:rsid w:val="0016057F"/>
    <w:rsid w:val="001674F0"/>
    <w:rsid w:val="00170817"/>
    <w:rsid w:val="001732E3"/>
    <w:rsid w:val="00174D35"/>
    <w:rsid w:val="0018251D"/>
    <w:rsid w:val="00182618"/>
    <w:rsid w:val="001837BB"/>
    <w:rsid w:val="00185978"/>
    <w:rsid w:val="00187F60"/>
    <w:rsid w:val="0019279D"/>
    <w:rsid w:val="001955D0"/>
    <w:rsid w:val="001A298E"/>
    <w:rsid w:val="001A4AD9"/>
    <w:rsid w:val="001A5F7D"/>
    <w:rsid w:val="001B0FD4"/>
    <w:rsid w:val="001B696C"/>
    <w:rsid w:val="001B747B"/>
    <w:rsid w:val="001C0D48"/>
    <w:rsid w:val="001C3C26"/>
    <w:rsid w:val="001C5336"/>
    <w:rsid w:val="001D341F"/>
    <w:rsid w:val="001D6B8D"/>
    <w:rsid w:val="001E1E28"/>
    <w:rsid w:val="001E3C7B"/>
    <w:rsid w:val="001E5295"/>
    <w:rsid w:val="001E64C6"/>
    <w:rsid w:val="001F6F11"/>
    <w:rsid w:val="00201175"/>
    <w:rsid w:val="00201B7F"/>
    <w:rsid w:val="0020229C"/>
    <w:rsid w:val="00203B67"/>
    <w:rsid w:val="0020519F"/>
    <w:rsid w:val="002072A4"/>
    <w:rsid w:val="00207F91"/>
    <w:rsid w:val="00211DFD"/>
    <w:rsid w:val="00213FFD"/>
    <w:rsid w:val="00215F19"/>
    <w:rsid w:val="0021788D"/>
    <w:rsid w:val="00221803"/>
    <w:rsid w:val="002250B9"/>
    <w:rsid w:val="00232A38"/>
    <w:rsid w:val="00232E1C"/>
    <w:rsid w:val="002372AE"/>
    <w:rsid w:val="0024100A"/>
    <w:rsid w:val="0025042A"/>
    <w:rsid w:val="00253121"/>
    <w:rsid w:val="002537D1"/>
    <w:rsid w:val="002540AB"/>
    <w:rsid w:val="0025495A"/>
    <w:rsid w:val="002553A3"/>
    <w:rsid w:val="00255697"/>
    <w:rsid w:val="00260D50"/>
    <w:rsid w:val="0026527F"/>
    <w:rsid w:val="002700A6"/>
    <w:rsid w:val="00270F59"/>
    <w:rsid w:val="002716E6"/>
    <w:rsid w:val="00272A9B"/>
    <w:rsid w:val="00272E1D"/>
    <w:rsid w:val="0028137F"/>
    <w:rsid w:val="00282459"/>
    <w:rsid w:val="002850E5"/>
    <w:rsid w:val="0028608A"/>
    <w:rsid w:val="0029397C"/>
    <w:rsid w:val="0029556F"/>
    <w:rsid w:val="00296DBC"/>
    <w:rsid w:val="002A018E"/>
    <w:rsid w:val="002A1CE3"/>
    <w:rsid w:val="002A3847"/>
    <w:rsid w:val="002A47ED"/>
    <w:rsid w:val="002A797F"/>
    <w:rsid w:val="002B19B4"/>
    <w:rsid w:val="002B510E"/>
    <w:rsid w:val="002B6907"/>
    <w:rsid w:val="002C1220"/>
    <w:rsid w:val="002C2215"/>
    <w:rsid w:val="002C2768"/>
    <w:rsid w:val="002C2797"/>
    <w:rsid w:val="002C5FAA"/>
    <w:rsid w:val="002E3AA2"/>
    <w:rsid w:val="002E7516"/>
    <w:rsid w:val="002F187E"/>
    <w:rsid w:val="002F3664"/>
    <w:rsid w:val="002F73FA"/>
    <w:rsid w:val="0030004D"/>
    <w:rsid w:val="0030448E"/>
    <w:rsid w:val="00306198"/>
    <w:rsid w:val="0031029F"/>
    <w:rsid w:val="00321FA3"/>
    <w:rsid w:val="003309DF"/>
    <w:rsid w:val="003323DF"/>
    <w:rsid w:val="00333470"/>
    <w:rsid w:val="00340E3F"/>
    <w:rsid w:val="003423A5"/>
    <w:rsid w:val="00347906"/>
    <w:rsid w:val="00351A85"/>
    <w:rsid w:val="00352D3B"/>
    <w:rsid w:val="003601E6"/>
    <w:rsid w:val="003618FA"/>
    <w:rsid w:val="003632FB"/>
    <w:rsid w:val="00363A02"/>
    <w:rsid w:val="00365F59"/>
    <w:rsid w:val="0036688F"/>
    <w:rsid w:val="003742C2"/>
    <w:rsid w:val="00374B7B"/>
    <w:rsid w:val="003778D8"/>
    <w:rsid w:val="00382091"/>
    <w:rsid w:val="003831B0"/>
    <w:rsid w:val="0039083D"/>
    <w:rsid w:val="00391587"/>
    <w:rsid w:val="00393AF5"/>
    <w:rsid w:val="00393CB0"/>
    <w:rsid w:val="00395C75"/>
    <w:rsid w:val="003A1573"/>
    <w:rsid w:val="003A4BA2"/>
    <w:rsid w:val="003B208A"/>
    <w:rsid w:val="003B2715"/>
    <w:rsid w:val="003B313D"/>
    <w:rsid w:val="003B360B"/>
    <w:rsid w:val="003C09A7"/>
    <w:rsid w:val="003C23A1"/>
    <w:rsid w:val="003C4A98"/>
    <w:rsid w:val="003C4F73"/>
    <w:rsid w:val="003C6DA7"/>
    <w:rsid w:val="003D18F6"/>
    <w:rsid w:val="003D3B8E"/>
    <w:rsid w:val="003D5E84"/>
    <w:rsid w:val="003E01FF"/>
    <w:rsid w:val="003E041E"/>
    <w:rsid w:val="003E207D"/>
    <w:rsid w:val="003E265D"/>
    <w:rsid w:val="003E2972"/>
    <w:rsid w:val="003E405F"/>
    <w:rsid w:val="003E7558"/>
    <w:rsid w:val="003E775B"/>
    <w:rsid w:val="003E7AEE"/>
    <w:rsid w:val="003F5D6B"/>
    <w:rsid w:val="004127CE"/>
    <w:rsid w:val="0042677C"/>
    <w:rsid w:val="00426C79"/>
    <w:rsid w:val="0043079C"/>
    <w:rsid w:val="00432E33"/>
    <w:rsid w:val="00433E14"/>
    <w:rsid w:val="00434E68"/>
    <w:rsid w:val="00444DC3"/>
    <w:rsid w:val="00444F54"/>
    <w:rsid w:val="00445D1F"/>
    <w:rsid w:val="004551F9"/>
    <w:rsid w:val="00455D4C"/>
    <w:rsid w:val="004571FB"/>
    <w:rsid w:val="00457D19"/>
    <w:rsid w:val="00461A16"/>
    <w:rsid w:val="00462B50"/>
    <w:rsid w:val="00467140"/>
    <w:rsid w:val="004702F8"/>
    <w:rsid w:val="004705D5"/>
    <w:rsid w:val="00473981"/>
    <w:rsid w:val="00475672"/>
    <w:rsid w:val="0047577B"/>
    <w:rsid w:val="00475D65"/>
    <w:rsid w:val="004767C0"/>
    <w:rsid w:val="00480337"/>
    <w:rsid w:val="00481EAF"/>
    <w:rsid w:val="00482D79"/>
    <w:rsid w:val="0048311A"/>
    <w:rsid w:val="00485702"/>
    <w:rsid w:val="004869A3"/>
    <w:rsid w:val="00486E48"/>
    <w:rsid w:val="00493766"/>
    <w:rsid w:val="004A4741"/>
    <w:rsid w:val="004A6479"/>
    <w:rsid w:val="004B040F"/>
    <w:rsid w:val="004B0C15"/>
    <w:rsid w:val="004B536E"/>
    <w:rsid w:val="004C2792"/>
    <w:rsid w:val="004D1AC3"/>
    <w:rsid w:val="004D1C0A"/>
    <w:rsid w:val="004D2CB7"/>
    <w:rsid w:val="004D4BCF"/>
    <w:rsid w:val="004E00BA"/>
    <w:rsid w:val="004E781E"/>
    <w:rsid w:val="0050022E"/>
    <w:rsid w:val="00505479"/>
    <w:rsid w:val="00510F46"/>
    <w:rsid w:val="00523082"/>
    <w:rsid w:val="0052355B"/>
    <w:rsid w:val="0052492A"/>
    <w:rsid w:val="005251F3"/>
    <w:rsid w:val="0052573C"/>
    <w:rsid w:val="00526BDF"/>
    <w:rsid w:val="00534D05"/>
    <w:rsid w:val="00534D9C"/>
    <w:rsid w:val="00535540"/>
    <w:rsid w:val="00537019"/>
    <w:rsid w:val="00540E2C"/>
    <w:rsid w:val="005412E5"/>
    <w:rsid w:val="00542D07"/>
    <w:rsid w:val="00543B24"/>
    <w:rsid w:val="0055723A"/>
    <w:rsid w:val="00563759"/>
    <w:rsid w:val="005643F2"/>
    <w:rsid w:val="00564A69"/>
    <w:rsid w:val="00564AF1"/>
    <w:rsid w:val="00567954"/>
    <w:rsid w:val="00570435"/>
    <w:rsid w:val="00573A1F"/>
    <w:rsid w:val="005745FD"/>
    <w:rsid w:val="005766CE"/>
    <w:rsid w:val="00577EE6"/>
    <w:rsid w:val="0058294C"/>
    <w:rsid w:val="00584982"/>
    <w:rsid w:val="00584BFD"/>
    <w:rsid w:val="005857AD"/>
    <w:rsid w:val="005868A2"/>
    <w:rsid w:val="00587057"/>
    <w:rsid w:val="00593F61"/>
    <w:rsid w:val="005975AA"/>
    <w:rsid w:val="005A0288"/>
    <w:rsid w:val="005A3315"/>
    <w:rsid w:val="005A4904"/>
    <w:rsid w:val="005A4F17"/>
    <w:rsid w:val="005A6290"/>
    <w:rsid w:val="005B0F9F"/>
    <w:rsid w:val="005B500E"/>
    <w:rsid w:val="005B5834"/>
    <w:rsid w:val="005C2A37"/>
    <w:rsid w:val="005C3041"/>
    <w:rsid w:val="005D0D82"/>
    <w:rsid w:val="005D2458"/>
    <w:rsid w:val="005D2DB6"/>
    <w:rsid w:val="005D3775"/>
    <w:rsid w:val="005D4EFE"/>
    <w:rsid w:val="005E2482"/>
    <w:rsid w:val="005E298E"/>
    <w:rsid w:val="005E7987"/>
    <w:rsid w:val="005F0814"/>
    <w:rsid w:val="005F202F"/>
    <w:rsid w:val="005F392F"/>
    <w:rsid w:val="005F74F5"/>
    <w:rsid w:val="00600634"/>
    <w:rsid w:val="00603F4B"/>
    <w:rsid w:val="00605BED"/>
    <w:rsid w:val="00606097"/>
    <w:rsid w:val="00611C0F"/>
    <w:rsid w:val="006132B7"/>
    <w:rsid w:val="00613AC9"/>
    <w:rsid w:val="0061642F"/>
    <w:rsid w:val="0062056F"/>
    <w:rsid w:val="006277E7"/>
    <w:rsid w:val="006278E2"/>
    <w:rsid w:val="00627FB7"/>
    <w:rsid w:val="00635B1D"/>
    <w:rsid w:val="0064224D"/>
    <w:rsid w:val="006435B8"/>
    <w:rsid w:val="00647224"/>
    <w:rsid w:val="006522DD"/>
    <w:rsid w:val="0065616F"/>
    <w:rsid w:val="006567F6"/>
    <w:rsid w:val="00663573"/>
    <w:rsid w:val="006761EB"/>
    <w:rsid w:val="00676837"/>
    <w:rsid w:val="006800CB"/>
    <w:rsid w:val="006835C7"/>
    <w:rsid w:val="006836BE"/>
    <w:rsid w:val="006909E8"/>
    <w:rsid w:val="0069186C"/>
    <w:rsid w:val="0069412E"/>
    <w:rsid w:val="00694E91"/>
    <w:rsid w:val="006972A6"/>
    <w:rsid w:val="006A3F62"/>
    <w:rsid w:val="006A55B2"/>
    <w:rsid w:val="006A7EFC"/>
    <w:rsid w:val="006B00C9"/>
    <w:rsid w:val="006B19B0"/>
    <w:rsid w:val="006B2A97"/>
    <w:rsid w:val="006B2E44"/>
    <w:rsid w:val="006B4983"/>
    <w:rsid w:val="006C2482"/>
    <w:rsid w:val="006C6E6E"/>
    <w:rsid w:val="006D55D1"/>
    <w:rsid w:val="006D66D5"/>
    <w:rsid w:val="006E0580"/>
    <w:rsid w:val="006E3520"/>
    <w:rsid w:val="006E3917"/>
    <w:rsid w:val="006E5168"/>
    <w:rsid w:val="006E554C"/>
    <w:rsid w:val="006F0875"/>
    <w:rsid w:val="006F0D9E"/>
    <w:rsid w:val="006F2AF2"/>
    <w:rsid w:val="006F4B28"/>
    <w:rsid w:val="0070057B"/>
    <w:rsid w:val="00704928"/>
    <w:rsid w:val="00705899"/>
    <w:rsid w:val="007068D1"/>
    <w:rsid w:val="007136F1"/>
    <w:rsid w:val="00723949"/>
    <w:rsid w:val="00727028"/>
    <w:rsid w:val="00730A13"/>
    <w:rsid w:val="00730B50"/>
    <w:rsid w:val="00734F5A"/>
    <w:rsid w:val="00740163"/>
    <w:rsid w:val="00740B98"/>
    <w:rsid w:val="00756393"/>
    <w:rsid w:val="0075774C"/>
    <w:rsid w:val="00763248"/>
    <w:rsid w:val="007648E5"/>
    <w:rsid w:val="00764CE0"/>
    <w:rsid w:val="00765371"/>
    <w:rsid w:val="00777F10"/>
    <w:rsid w:val="00780869"/>
    <w:rsid w:val="00783AED"/>
    <w:rsid w:val="00794BF2"/>
    <w:rsid w:val="0079717D"/>
    <w:rsid w:val="007A2C1E"/>
    <w:rsid w:val="007A3CBC"/>
    <w:rsid w:val="007A71DC"/>
    <w:rsid w:val="007B3BBD"/>
    <w:rsid w:val="007C0255"/>
    <w:rsid w:val="007C0A56"/>
    <w:rsid w:val="007C19A3"/>
    <w:rsid w:val="007C3DEF"/>
    <w:rsid w:val="007C6482"/>
    <w:rsid w:val="007D0A63"/>
    <w:rsid w:val="007D5195"/>
    <w:rsid w:val="007D7E38"/>
    <w:rsid w:val="007E0033"/>
    <w:rsid w:val="007E0F11"/>
    <w:rsid w:val="007E3907"/>
    <w:rsid w:val="007E5337"/>
    <w:rsid w:val="007E67FE"/>
    <w:rsid w:val="007F0B18"/>
    <w:rsid w:val="007F1E0A"/>
    <w:rsid w:val="007F283A"/>
    <w:rsid w:val="007F427C"/>
    <w:rsid w:val="007F44E3"/>
    <w:rsid w:val="007F62CE"/>
    <w:rsid w:val="007F7256"/>
    <w:rsid w:val="00803B34"/>
    <w:rsid w:val="00806967"/>
    <w:rsid w:val="00807478"/>
    <w:rsid w:val="00813072"/>
    <w:rsid w:val="00814BFF"/>
    <w:rsid w:val="00825806"/>
    <w:rsid w:val="008263BF"/>
    <w:rsid w:val="00831DE6"/>
    <w:rsid w:val="0083714F"/>
    <w:rsid w:val="00841DAA"/>
    <w:rsid w:val="00841E0F"/>
    <w:rsid w:val="00843319"/>
    <w:rsid w:val="00846245"/>
    <w:rsid w:val="00846B9E"/>
    <w:rsid w:val="00846C0B"/>
    <w:rsid w:val="008523F2"/>
    <w:rsid w:val="00853EAB"/>
    <w:rsid w:val="008606B7"/>
    <w:rsid w:val="0086378C"/>
    <w:rsid w:val="00864982"/>
    <w:rsid w:val="00864D02"/>
    <w:rsid w:val="00864E89"/>
    <w:rsid w:val="00865426"/>
    <w:rsid w:val="0086661C"/>
    <w:rsid w:val="008716D7"/>
    <w:rsid w:val="008752C1"/>
    <w:rsid w:val="00876BB1"/>
    <w:rsid w:val="00880223"/>
    <w:rsid w:val="00883E74"/>
    <w:rsid w:val="008855AB"/>
    <w:rsid w:val="00886095"/>
    <w:rsid w:val="00886FF7"/>
    <w:rsid w:val="00897098"/>
    <w:rsid w:val="008A38D7"/>
    <w:rsid w:val="008B3D8C"/>
    <w:rsid w:val="008B3E96"/>
    <w:rsid w:val="008B4455"/>
    <w:rsid w:val="008B58F3"/>
    <w:rsid w:val="008C1361"/>
    <w:rsid w:val="008C3181"/>
    <w:rsid w:val="008D0A5F"/>
    <w:rsid w:val="008D5694"/>
    <w:rsid w:val="008E0EA0"/>
    <w:rsid w:val="008E527B"/>
    <w:rsid w:val="008E6A0B"/>
    <w:rsid w:val="008F05F5"/>
    <w:rsid w:val="008F0AAF"/>
    <w:rsid w:val="008F29EC"/>
    <w:rsid w:val="008F2E90"/>
    <w:rsid w:val="008F6A51"/>
    <w:rsid w:val="00900359"/>
    <w:rsid w:val="0090065E"/>
    <w:rsid w:val="00905017"/>
    <w:rsid w:val="00905F6A"/>
    <w:rsid w:val="00907435"/>
    <w:rsid w:val="009156FD"/>
    <w:rsid w:val="00916E34"/>
    <w:rsid w:val="00917F68"/>
    <w:rsid w:val="00922159"/>
    <w:rsid w:val="009270C5"/>
    <w:rsid w:val="0092785F"/>
    <w:rsid w:val="00930E0C"/>
    <w:rsid w:val="00934618"/>
    <w:rsid w:val="00936C7E"/>
    <w:rsid w:val="0094037F"/>
    <w:rsid w:val="00940C0C"/>
    <w:rsid w:val="00941633"/>
    <w:rsid w:val="00942CC5"/>
    <w:rsid w:val="00943104"/>
    <w:rsid w:val="0094357D"/>
    <w:rsid w:val="00946AA7"/>
    <w:rsid w:val="009502EF"/>
    <w:rsid w:val="00953996"/>
    <w:rsid w:val="00955A19"/>
    <w:rsid w:val="00956876"/>
    <w:rsid w:val="00957ED4"/>
    <w:rsid w:val="0096041C"/>
    <w:rsid w:val="00962E47"/>
    <w:rsid w:val="00963864"/>
    <w:rsid w:val="00964160"/>
    <w:rsid w:val="00964A07"/>
    <w:rsid w:val="009651F3"/>
    <w:rsid w:val="0096600C"/>
    <w:rsid w:val="00970789"/>
    <w:rsid w:val="00971B64"/>
    <w:rsid w:val="00972FDD"/>
    <w:rsid w:val="0098199B"/>
    <w:rsid w:val="00981A45"/>
    <w:rsid w:val="009865E5"/>
    <w:rsid w:val="00987231"/>
    <w:rsid w:val="00991461"/>
    <w:rsid w:val="009940C9"/>
    <w:rsid w:val="00994946"/>
    <w:rsid w:val="009966B9"/>
    <w:rsid w:val="009A48F7"/>
    <w:rsid w:val="009A5C7C"/>
    <w:rsid w:val="009A6FC7"/>
    <w:rsid w:val="009A7A55"/>
    <w:rsid w:val="009B45C5"/>
    <w:rsid w:val="009B5EBA"/>
    <w:rsid w:val="009B79E5"/>
    <w:rsid w:val="009C4474"/>
    <w:rsid w:val="009C5791"/>
    <w:rsid w:val="009C6543"/>
    <w:rsid w:val="009C7B65"/>
    <w:rsid w:val="009C7B84"/>
    <w:rsid w:val="009D1B38"/>
    <w:rsid w:val="009D2F9B"/>
    <w:rsid w:val="009D3320"/>
    <w:rsid w:val="009D4AC7"/>
    <w:rsid w:val="009D6D7F"/>
    <w:rsid w:val="009D7ABC"/>
    <w:rsid w:val="009E7DA6"/>
    <w:rsid w:val="009F5954"/>
    <w:rsid w:val="009F6A73"/>
    <w:rsid w:val="00A01DDE"/>
    <w:rsid w:val="00A02F7B"/>
    <w:rsid w:val="00A04C20"/>
    <w:rsid w:val="00A0513F"/>
    <w:rsid w:val="00A05D14"/>
    <w:rsid w:val="00A06683"/>
    <w:rsid w:val="00A06EC4"/>
    <w:rsid w:val="00A06F74"/>
    <w:rsid w:val="00A10375"/>
    <w:rsid w:val="00A16F28"/>
    <w:rsid w:val="00A22246"/>
    <w:rsid w:val="00A223CF"/>
    <w:rsid w:val="00A24A29"/>
    <w:rsid w:val="00A24E35"/>
    <w:rsid w:val="00A25441"/>
    <w:rsid w:val="00A363D7"/>
    <w:rsid w:val="00A37A82"/>
    <w:rsid w:val="00A37F9F"/>
    <w:rsid w:val="00A42C93"/>
    <w:rsid w:val="00A4458E"/>
    <w:rsid w:val="00A4664C"/>
    <w:rsid w:val="00A5388B"/>
    <w:rsid w:val="00A53E9E"/>
    <w:rsid w:val="00A562C4"/>
    <w:rsid w:val="00A56D2C"/>
    <w:rsid w:val="00A639E2"/>
    <w:rsid w:val="00A65A9D"/>
    <w:rsid w:val="00A66B21"/>
    <w:rsid w:val="00A70465"/>
    <w:rsid w:val="00A711E7"/>
    <w:rsid w:val="00A71672"/>
    <w:rsid w:val="00A73184"/>
    <w:rsid w:val="00A7376C"/>
    <w:rsid w:val="00A75425"/>
    <w:rsid w:val="00A80867"/>
    <w:rsid w:val="00A91B11"/>
    <w:rsid w:val="00A93699"/>
    <w:rsid w:val="00A94910"/>
    <w:rsid w:val="00A95874"/>
    <w:rsid w:val="00AB1C5E"/>
    <w:rsid w:val="00AB35D2"/>
    <w:rsid w:val="00AB4448"/>
    <w:rsid w:val="00AB4F08"/>
    <w:rsid w:val="00AC0535"/>
    <w:rsid w:val="00AC626A"/>
    <w:rsid w:val="00AC7373"/>
    <w:rsid w:val="00AD14AC"/>
    <w:rsid w:val="00AD76B3"/>
    <w:rsid w:val="00AE3CFC"/>
    <w:rsid w:val="00AE4703"/>
    <w:rsid w:val="00AE6BD5"/>
    <w:rsid w:val="00AF2D2A"/>
    <w:rsid w:val="00AF3AC6"/>
    <w:rsid w:val="00AF4293"/>
    <w:rsid w:val="00AF7F72"/>
    <w:rsid w:val="00B04C14"/>
    <w:rsid w:val="00B11B67"/>
    <w:rsid w:val="00B22097"/>
    <w:rsid w:val="00B262E5"/>
    <w:rsid w:val="00B273B5"/>
    <w:rsid w:val="00B308ED"/>
    <w:rsid w:val="00B3323E"/>
    <w:rsid w:val="00B40622"/>
    <w:rsid w:val="00B41043"/>
    <w:rsid w:val="00B469FD"/>
    <w:rsid w:val="00B46AF2"/>
    <w:rsid w:val="00B51B17"/>
    <w:rsid w:val="00B5447B"/>
    <w:rsid w:val="00B54ACD"/>
    <w:rsid w:val="00B54BB0"/>
    <w:rsid w:val="00B56DE7"/>
    <w:rsid w:val="00B56EBD"/>
    <w:rsid w:val="00B60128"/>
    <w:rsid w:val="00B633B1"/>
    <w:rsid w:val="00B66B23"/>
    <w:rsid w:val="00B700D2"/>
    <w:rsid w:val="00B72773"/>
    <w:rsid w:val="00B757C0"/>
    <w:rsid w:val="00B76346"/>
    <w:rsid w:val="00B765A3"/>
    <w:rsid w:val="00B83856"/>
    <w:rsid w:val="00B90309"/>
    <w:rsid w:val="00B92F26"/>
    <w:rsid w:val="00B9412F"/>
    <w:rsid w:val="00BA01AD"/>
    <w:rsid w:val="00BA3AE8"/>
    <w:rsid w:val="00BA6359"/>
    <w:rsid w:val="00BB2D38"/>
    <w:rsid w:val="00BB3BD7"/>
    <w:rsid w:val="00BB4BBF"/>
    <w:rsid w:val="00BB6FEF"/>
    <w:rsid w:val="00BC004E"/>
    <w:rsid w:val="00BC1B21"/>
    <w:rsid w:val="00BC24DF"/>
    <w:rsid w:val="00BC4889"/>
    <w:rsid w:val="00BC4FBB"/>
    <w:rsid w:val="00BD5296"/>
    <w:rsid w:val="00BE00C3"/>
    <w:rsid w:val="00BE3B42"/>
    <w:rsid w:val="00BE40CF"/>
    <w:rsid w:val="00BE61DC"/>
    <w:rsid w:val="00BE6DCC"/>
    <w:rsid w:val="00BE7D8F"/>
    <w:rsid w:val="00BF1CD9"/>
    <w:rsid w:val="00BF3F2B"/>
    <w:rsid w:val="00BF5CE5"/>
    <w:rsid w:val="00BF6009"/>
    <w:rsid w:val="00BF7C5F"/>
    <w:rsid w:val="00C02F5C"/>
    <w:rsid w:val="00C069C8"/>
    <w:rsid w:val="00C07CF1"/>
    <w:rsid w:val="00C07E83"/>
    <w:rsid w:val="00C118F7"/>
    <w:rsid w:val="00C1396E"/>
    <w:rsid w:val="00C150A2"/>
    <w:rsid w:val="00C21795"/>
    <w:rsid w:val="00C22F50"/>
    <w:rsid w:val="00C23995"/>
    <w:rsid w:val="00C24D91"/>
    <w:rsid w:val="00C3302D"/>
    <w:rsid w:val="00C33E2A"/>
    <w:rsid w:val="00C36595"/>
    <w:rsid w:val="00C40732"/>
    <w:rsid w:val="00C42B65"/>
    <w:rsid w:val="00C44F14"/>
    <w:rsid w:val="00C45674"/>
    <w:rsid w:val="00C45B6D"/>
    <w:rsid w:val="00C50127"/>
    <w:rsid w:val="00C504EE"/>
    <w:rsid w:val="00C515B5"/>
    <w:rsid w:val="00C563E6"/>
    <w:rsid w:val="00C5696C"/>
    <w:rsid w:val="00C642A7"/>
    <w:rsid w:val="00C66C6E"/>
    <w:rsid w:val="00C705B3"/>
    <w:rsid w:val="00C70870"/>
    <w:rsid w:val="00C71C9A"/>
    <w:rsid w:val="00C72A8C"/>
    <w:rsid w:val="00C840D0"/>
    <w:rsid w:val="00C841BF"/>
    <w:rsid w:val="00C87CCE"/>
    <w:rsid w:val="00C909C1"/>
    <w:rsid w:val="00C90C7A"/>
    <w:rsid w:val="00CA490B"/>
    <w:rsid w:val="00CA5471"/>
    <w:rsid w:val="00CB3E76"/>
    <w:rsid w:val="00CB4767"/>
    <w:rsid w:val="00CB7EAE"/>
    <w:rsid w:val="00CC0F15"/>
    <w:rsid w:val="00CC33ED"/>
    <w:rsid w:val="00CC4614"/>
    <w:rsid w:val="00CC52A8"/>
    <w:rsid w:val="00CD1BDB"/>
    <w:rsid w:val="00CD597C"/>
    <w:rsid w:val="00CD5D8F"/>
    <w:rsid w:val="00CD6C63"/>
    <w:rsid w:val="00CE3A9D"/>
    <w:rsid w:val="00CE4D82"/>
    <w:rsid w:val="00CF1D6B"/>
    <w:rsid w:val="00CF2345"/>
    <w:rsid w:val="00CF7B7E"/>
    <w:rsid w:val="00D02C08"/>
    <w:rsid w:val="00D02D6C"/>
    <w:rsid w:val="00D0305A"/>
    <w:rsid w:val="00D10BBC"/>
    <w:rsid w:val="00D121FA"/>
    <w:rsid w:val="00D14B97"/>
    <w:rsid w:val="00D14F9B"/>
    <w:rsid w:val="00D16DF3"/>
    <w:rsid w:val="00D226DA"/>
    <w:rsid w:val="00D24B1B"/>
    <w:rsid w:val="00D26972"/>
    <w:rsid w:val="00D322CC"/>
    <w:rsid w:val="00D36142"/>
    <w:rsid w:val="00D375D1"/>
    <w:rsid w:val="00D40279"/>
    <w:rsid w:val="00D454A7"/>
    <w:rsid w:val="00D47517"/>
    <w:rsid w:val="00D500AA"/>
    <w:rsid w:val="00D5051B"/>
    <w:rsid w:val="00D5104E"/>
    <w:rsid w:val="00D51510"/>
    <w:rsid w:val="00D547D1"/>
    <w:rsid w:val="00D55157"/>
    <w:rsid w:val="00D55622"/>
    <w:rsid w:val="00D61492"/>
    <w:rsid w:val="00D63859"/>
    <w:rsid w:val="00D639C6"/>
    <w:rsid w:val="00D722BE"/>
    <w:rsid w:val="00D741B2"/>
    <w:rsid w:val="00D75EA1"/>
    <w:rsid w:val="00D838DE"/>
    <w:rsid w:val="00D84DAC"/>
    <w:rsid w:val="00D8561D"/>
    <w:rsid w:val="00D85CEF"/>
    <w:rsid w:val="00D875E0"/>
    <w:rsid w:val="00D904CB"/>
    <w:rsid w:val="00D93314"/>
    <w:rsid w:val="00D97311"/>
    <w:rsid w:val="00DA579E"/>
    <w:rsid w:val="00DA650A"/>
    <w:rsid w:val="00DA74AF"/>
    <w:rsid w:val="00DA7FE5"/>
    <w:rsid w:val="00DB0BDE"/>
    <w:rsid w:val="00DB6140"/>
    <w:rsid w:val="00DC009D"/>
    <w:rsid w:val="00DC18DE"/>
    <w:rsid w:val="00DC755B"/>
    <w:rsid w:val="00DD0BBD"/>
    <w:rsid w:val="00DD3321"/>
    <w:rsid w:val="00DD36A5"/>
    <w:rsid w:val="00DE0D49"/>
    <w:rsid w:val="00DE255E"/>
    <w:rsid w:val="00DE5030"/>
    <w:rsid w:val="00DE72D4"/>
    <w:rsid w:val="00DF2047"/>
    <w:rsid w:val="00DF55F9"/>
    <w:rsid w:val="00DF58EB"/>
    <w:rsid w:val="00DF77AD"/>
    <w:rsid w:val="00E02A15"/>
    <w:rsid w:val="00E07FEB"/>
    <w:rsid w:val="00E1094D"/>
    <w:rsid w:val="00E11BBC"/>
    <w:rsid w:val="00E13181"/>
    <w:rsid w:val="00E1323B"/>
    <w:rsid w:val="00E13D04"/>
    <w:rsid w:val="00E1538D"/>
    <w:rsid w:val="00E20C31"/>
    <w:rsid w:val="00E235CB"/>
    <w:rsid w:val="00E2729B"/>
    <w:rsid w:val="00E309EA"/>
    <w:rsid w:val="00E316BA"/>
    <w:rsid w:val="00E31C3E"/>
    <w:rsid w:val="00E330EA"/>
    <w:rsid w:val="00E33B4C"/>
    <w:rsid w:val="00E402FD"/>
    <w:rsid w:val="00E42907"/>
    <w:rsid w:val="00E450C7"/>
    <w:rsid w:val="00E546F9"/>
    <w:rsid w:val="00E55958"/>
    <w:rsid w:val="00E624B2"/>
    <w:rsid w:val="00E63045"/>
    <w:rsid w:val="00E65ABA"/>
    <w:rsid w:val="00E666F3"/>
    <w:rsid w:val="00E67239"/>
    <w:rsid w:val="00E722AB"/>
    <w:rsid w:val="00E7373F"/>
    <w:rsid w:val="00E83FC2"/>
    <w:rsid w:val="00E84719"/>
    <w:rsid w:val="00E86EAD"/>
    <w:rsid w:val="00E87D1C"/>
    <w:rsid w:val="00E90904"/>
    <w:rsid w:val="00E910FE"/>
    <w:rsid w:val="00E91512"/>
    <w:rsid w:val="00E966A2"/>
    <w:rsid w:val="00EA1142"/>
    <w:rsid w:val="00EA757E"/>
    <w:rsid w:val="00EB1F26"/>
    <w:rsid w:val="00EB5376"/>
    <w:rsid w:val="00EB6B2A"/>
    <w:rsid w:val="00EC2416"/>
    <w:rsid w:val="00EC3C49"/>
    <w:rsid w:val="00EC3F37"/>
    <w:rsid w:val="00EC5081"/>
    <w:rsid w:val="00EC6527"/>
    <w:rsid w:val="00EC758A"/>
    <w:rsid w:val="00ED11F8"/>
    <w:rsid w:val="00ED28CE"/>
    <w:rsid w:val="00ED425B"/>
    <w:rsid w:val="00ED6A89"/>
    <w:rsid w:val="00EE0668"/>
    <w:rsid w:val="00EE2240"/>
    <w:rsid w:val="00EE62A2"/>
    <w:rsid w:val="00EF312D"/>
    <w:rsid w:val="00EF3521"/>
    <w:rsid w:val="00EF3B08"/>
    <w:rsid w:val="00EF5B60"/>
    <w:rsid w:val="00F01322"/>
    <w:rsid w:val="00F03022"/>
    <w:rsid w:val="00F03971"/>
    <w:rsid w:val="00F03F11"/>
    <w:rsid w:val="00F04C16"/>
    <w:rsid w:val="00F072AB"/>
    <w:rsid w:val="00F11E90"/>
    <w:rsid w:val="00F127EF"/>
    <w:rsid w:val="00F12F57"/>
    <w:rsid w:val="00F2001C"/>
    <w:rsid w:val="00F23487"/>
    <w:rsid w:val="00F24E84"/>
    <w:rsid w:val="00F25B4C"/>
    <w:rsid w:val="00F343FE"/>
    <w:rsid w:val="00F459C8"/>
    <w:rsid w:val="00F47FF8"/>
    <w:rsid w:val="00F527F6"/>
    <w:rsid w:val="00F55B8B"/>
    <w:rsid w:val="00F607DE"/>
    <w:rsid w:val="00F609BB"/>
    <w:rsid w:val="00F63461"/>
    <w:rsid w:val="00F63DAF"/>
    <w:rsid w:val="00F70E1E"/>
    <w:rsid w:val="00F742E2"/>
    <w:rsid w:val="00F7623F"/>
    <w:rsid w:val="00F7709C"/>
    <w:rsid w:val="00F77F0B"/>
    <w:rsid w:val="00F80534"/>
    <w:rsid w:val="00F85AEB"/>
    <w:rsid w:val="00F9122D"/>
    <w:rsid w:val="00F94445"/>
    <w:rsid w:val="00F945FE"/>
    <w:rsid w:val="00F952F6"/>
    <w:rsid w:val="00F9623B"/>
    <w:rsid w:val="00FA1C18"/>
    <w:rsid w:val="00FA5490"/>
    <w:rsid w:val="00FB237D"/>
    <w:rsid w:val="00FB257E"/>
    <w:rsid w:val="00FB6211"/>
    <w:rsid w:val="00FB6832"/>
    <w:rsid w:val="00FC1047"/>
    <w:rsid w:val="00FC1B5A"/>
    <w:rsid w:val="00FC3766"/>
    <w:rsid w:val="00FD01C2"/>
    <w:rsid w:val="00FD0D8A"/>
    <w:rsid w:val="00FD4D81"/>
    <w:rsid w:val="00FE0617"/>
    <w:rsid w:val="00FE75D2"/>
    <w:rsid w:val="00FF3945"/>
    <w:rsid w:val="00FF7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44062E54"/>
  <w15:docId w15:val="{D8062B43-FFD5-4EF9-A90E-D7AA1960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6E6"/>
    <w:rPr>
      <w:sz w:val="24"/>
      <w:szCs w:val="24"/>
    </w:rPr>
  </w:style>
  <w:style w:type="paragraph" w:styleId="berschrift1">
    <w:name w:val="heading 1"/>
    <w:aliases w:val="Überschrift1Vertrag"/>
    <w:basedOn w:val="Standard"/>
    <w:next w:val="Standard"/>
    <w:autoRedefine/>
    <w:qFormat/>
    <w:rsid w:val="00C90C7A"/>
    <w:pPr>
      <w:keepNext/>
      <w:numPr>
        <w:numId w:val="28"/>
      </w:numPr>
      <w:tabs>
        <w:tab w:val="clear" w:pos="567"/>
        <w:tab w:val="left" w:pos="720"/>
      </w:tabs>
      <w:ind w:left="720" w:hanging="720"/>
      <w:jc w:val="center"/>
      <w:outlineLvl w:val="0"/>
    </w:pPr>
    <w:rPr>
      <w:rFonts w:ascii="Arial" w:hAnsi="Arial" w:cs="Arial"/>
      <w:b/>
      <w:kern w:val="28"/>
      <w:sz w:val="16"/>
      <w:szCs w:val="16"/>
    </w:rPr>
  </w:style>
  <w:style w:type="paragraph" w:styleId="berschrift2">
    <w:name w:val="heading 2"/>
    <w:aliases w:val="Überschrift2Vertrag"/>
    <w:basedOn w:val="Standard"/>
    <w:next w:val="Standard"/>
    <w:qFormat/>
    <w:rsid w:val="00C90C7A"/>
    <w:pPr>
      <w:widowControl w:val="0"/>
      <w:numPr>
        <w:ilvl w:val="1"/>
        <w:numId w:val="28"/>
      </w:numPr>
      <w:tabs>
        <w:tab w:val="left" w:pos="851"/>
        <w:tab w:val="left" w:pos="5954"/>
        <w:tab w:val="left" w:pos="7088"/>
        <w:tab w:val="left" w:pos="9072"/>
      </w:tabs>
      <w:spacing w:before="60" w:after="120"/>
      <w:jc w:val="both"/>
      <w:outlineLvl w:val="1"/>
    </w:pPr>
    <w:rPr>
      <w:rFonts w:ascii="Arial" w:hAnsi="Arial" w:cs="Arial"/>
      <w:sz w:val="16"/>
      <w:szCs w:val="16"/>
    </w:rPr>
  </w:style>
  <w:style w:type="paragraph" w:styleId="berschrift3">
    <w:name w:val="heading 3"/>
    <w:aliases w:val="Überschrift3Vertrag"/>
    <w:basedOn w:val="Standard"/>
    <w:next w:val="Standard"/>
    <w:autoRedefine/>
    <w:qFormat/>
    <w:rsid w:val="00C90C7A"/>
    <w:pPr>
      <w:numPr>
        <w:ilvl w:val="2"/>
        <w:numId w:val="28"/>
      </w:numPr>
      <w:tabs>
        <w:tab w:val="clear" w:pos="747"/>
        <w:tab w:val="left" w:pos="720"/>
      </w:tabs>
      <w:ind w:left="720" w:firstLine="540"/>
      <w:jc w:val="both"/>
      <w:outlineLvl w:val="2"/>
    </w:pPr>
    <w:rPr>
      <w:rFonts w:ascii="Arial" w:hAnsi="Arial" w:cs="Arial"/>
      <w:sz w:val="16"/>
      <w:szCs w:val="16"/>
    </w:rPr>
  </w:style>
  <w:style w:type="paragraph" w:styleId="berschrift4">
    <w:name w:val="heading 4"/>
    <w:aliases w:val="Überschrift4Vertrag"/>
    <w:basedOn w:val="Standard"/>
    <w:next w:val="Standard"/>
    <w:autoRedefine/>
    <w:qFormat/>
    <w:rsid w:val="00C90C7A"/>
    <w:pPr>
      <w:keepNext/>
      <w:numPr>
        <w:ilvl w:val="3"/>
        <w:numId w:val="28"/>
      </w:numPr>
      <w:spacing w:before="60" w:after="60"/>
      <w:outlineLvl w:val="3"/>
    </w:pPr>
    <w:rPr>
      <w:rFonts w:ascii="Arial" w:hAnsi="Arial" w:cs="Arial"/>
      <w:sz w:val="16"/>
      <w:szCs w:val="16"/>
    </w:rPr>
  </w:style>
  <w:style w:type="paragraph" w:styleId="berschrift5">
    <w:name w:val="heading 5"/>
    <w:basedOn w:val="Standard"/>
    <w:next w:val="Standard"/>
    <w:qFormat/>
    <w:rsid w:val="00C90C7A"/>
    <w:pPr>
      <w:numPr>
        <w:ilvl w:val="4"/>
        <w:numId w:val="28"/>
      </w:numPr>
      <w:spacing w:before="240"/>
      <w:outlineLvl w:val="4"/>
    </w:pPr>
    <w:rPr>
      <w:rFonts w:ascii="Arial" w:hAnsi="Arial" w:cs="Arial"/>
      <w:sz w:val="22"/>
      <w:szCs w:val="22"/>
    </w:rPr>
  </w:style>
  <w:style w:type="paragraph" w:styleId="berschrift6">
    <w:name w:val="heading 6"/>
    <w:basedOn w:val="Standard"/>
    <w:next w:val="Standard"/>
    <w:qFormat/>
    <w:rsid w:val="00C90C7A"/>
    <w:pPr>
      <w:numPr>
        <w:ilvl w:val="5"/>
        <w:numId w:val="28"/>
      </w:numPr>
      <w:spacing w:before="240"/>
      <w:outlineLvl w:val="5"/>
    </w:pPr>
    <w:rPr>
      <w:rFonts w:ascii="Arial" w:hAnsi="Arial" w:cs="Arial"/>
      <w:sz w:val="22"/>
      <w:szCs w:val="22"/>
    </w:rPr>
  </w:style>
  <w:style w:type="paragraph" w:styleId="berschrift7">
    <w:name w:val="heading 7"/>
    <w:basedOn w:val="Standard"/>
    <w:next w:val="Standard"/>
    <w:qFormat/>
    <w:rsid w:val="00C90C7A"/>
    <w:pPr>
      <w:numPr>
        <w:ilvl w:val="6"/>
        <w:numId w:val="28"/>
      </w:numPr>
      <w:spacing w:before="240"/>
      <w:outlineLvl w:val="6"/>
    </w:pPr>
    <w:rPr>
      <w:rFonts w:ascii="Arial" w:hAnsi="Arial" w:cs="Arial"/>
      <w:sz w:val="20"/>
      <w:szCs w:val="20"/>
    </w:rPr>
  </w:style>
  <w:style w:type="paragraph" w:styleId="berschrift8">
    <w:name w:val="heading 8"/>
    <w:basedOn w:val="Standard"/>
    <w:next w:val="Standard"/>
    <w:qFormat/>
    <w:rsid w:val="00C90C7A"/>
    <w:pPr>
      <w:numPr>
        <w:ilvl w:val="7"/>
        <w:numId w:val="28"/>
      </w:numPr>
      <w:spacing w:before="240"/>
      <w:outlineLvl w:val="7"/>
    </w:pPr>
    <w:rPr>
      <w:rFonts w:ascii="Arial" w:hAnsi="Arial" w:cs="Arial"/>
      <w:sz w:val="20"/>
      <w:szCs w:val="20"/>
    </w:rPr>
  </w:style>
  <w:style w:type="paragraph" w:styleId="berschrift9">
    <w:name w:val="heading 9"/>
    <w:basedOn w:val="Standard"/>
    <w:next w:val="Standard"/>
    <w:qFormat/>
    <w:rsid w:val="00C90C7A"/>
    <w:pPr>
      <w:numPr>
        <w:ilvl w:val="8"/>
        <w:numId w:val="28"/>
      </w:numPr>
      <w:spacing w:before="240"/>
      <w:outlineLvl w:val="8"/>
    </w:pPr>
    <w:rPr>
      <w:rFonts w:ascii="Arial" w:hAnsi="Arial" w:cs="Arial"/>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FC7"/>
    <w:pPr>
      <w:tabs>
        <w:tab w:val="center" w:pos="4536"/>
        <w:tab w:val="right" w:pos="9072"/>
      </w:tabs>
    </w:pPr>
  </w:style>
  <w:style w:type="paragraph" w:styleId="Fuzeile">
    <w:name w:val="footer"/>
    <w:basedOn w:val="Standard"/>
    <w:rsid w:val="009A6FC7"/>
    <w:pPr>
      <w:tabs>
        <w:tab w:val="center" w:pos="4536"/>
        <w:tab w:val="right" w:pos="9072"/>
      </w:tabs>
    </w:pPr>
  </w:style>
  <w:style w:type="character" w:styleId="Seitenzahl">
    <w:name w:val="page number"/>
    <w:basedOn w:val="Absatz-Standardschriftart"/>
    <w:rsid w:val="009A6FC7"/>
  </w:style>
  <w:style w:type="table" w:styleId="Tabellenraster">
    <w:name w:val="Table Grid"/>
    <w:basedOn w:val="NormaleTabelle"/>
    <w:rsid w:val="0027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2250B9"/>
    <w:pPr>
      <w:ind w:left="1416" w:hanging="1416"/>
      <w:jc w:val="both"/>
    </w:pPr>
    <w:rPr>
      <w:sz w:val="16"/>
    </w:rPr>
  </w:style>
  <w:style w:type="paragraph" w:styleId="Textkrper-Einzug2">
    <w:name w:val="Body Text Indent 2"/>
    <w:basedOn w:val="Standard"/>
    <w:rsid w:val="0052573C"/>
    <w:pPr>
      <w:spacing w:after="120" w:line="480" w:lineRule="auto"/>
      <w:ind w:left="283"/>
    </w:pPr>
  </w:style>
  <w:style w:type="paragraph" w:styleId="Sprechblasentext">
    <w:name w:val="Balloon Text"/>
    <w:basedOn w:val="Standard"/>
    <w:semiHidden/>
    <w:rsid w:val="00F9122D"/>
    <w:rPr>
      <w:rFonts w:ascii="Tahoma" w:hAnsi="Tahoma" w:cs="Courier New"/>
      <w:sz w:val="16"/>
      <w:szCs w:val="16"/>
    </w:rPr>
  </w:style>
  <w:style w:type="paragraph" w:styleId="Textkrper-Zeileneinzug">
    <w:name w:val="Body Text Indent"/>
    <w:basedOn w:val="Standard"/>
    <w:rsid w:val="00F9122D"/>
    <w:pPr>
      <w:spacing w:after="120" w:line="360" w:lineRule="auto"/>
      <w:ind w:left="283"/>
    </w:pPr>
    <w:rPr>
      <w:rFonts w:ascii="Arial" w:hAnsi="Arial" w:cs="Arial"/>
    </w:rPr>
  </w:style>
  <w:style w:type="paragraph" w:styleId="Funotentext">
    <w:name w:val="footnote text"/>
    <w:basedOn w:val="Standard"/>
    <w:semiHidden/>
    <w:rsid w:val="00853EAB"/>
    <w:rPr>
      <w:sz w:val="20"/>
      <w:szCs w:val="20"/>
    </w:rPr>
  </w:style>
  <w:style w:type="character" w:styleId="Funotenzeichen">
    <w:name w:val="footnote reference"/>
    <w:semiHidden/>
    <w:rsid w:val="00853EAB"/>
    <w:rPr>
      <w:vertAlign w:val="superscript"/>
    </w:rPr>
  </w:style>
  <w:style w:type="character" w:styleId="Kommentarzeichen">
    <w:name w:val="annotation reference"/>
    <w:semiHidden/>
    <w:rsid w:val="00611C0F"/>
    <w:rPr>
      <w:sz w:val="16"/>
      <w:szCs w:val="16"/>
    </w:rPr>
  </w:style>
  <w:style w:type="paragraph" w:styleId="Kommentartext">
    <w:name w:val="annotation text"/>
    <w:basedOn w:val="Standard"/>
    <w:link w:val="KommentartextZchn"/>
    <w:semiHidden/>
    <w:rsid w:val="00611C0F"/>
    <w:pPr>
      <w:spacing w:line="360" w:lineRule="auto"/>
    </w:pPr>
    <w:rPr>
      <w:rFonts w:ascii="Arial" w:hAnsi="Arial"/>
      <w:sz w:val="20"/>
      <w:szCs w:val="20"/>
    </w:rPr>
  </w:style>
  <w:style w:type="paragraph" w:customStyle="1" w:styleId="Ansricheingerckt">
    <w:name w:val="Ansricheingerückt"/>
    <w:basedOn w:val="Standard"/>
    <w:next w:val="Standard"/>
    <w:autoRedefine/>
    <w:rsid w:val="00940C0C"/>
    <w:pPr>
      <w:tabs>
        <w:tab w:val="left" w:pos="1134"/>
      </w:tabs>
      <w:spacing w:before="40" w:after="40"/>
      <w:ind w:left="1135" w:hanging="284"/>
    </w:pPr>
    <w:rPr>
      <w:rFonts w:ascii="Univers 55" w:hAnsi="Univers 55"/>
      <w:sz w:val="16"/>
      <w:szCs w:val="20"/>
    </w:rPr>
  </w:style>
  <w:style w:type="paragraph" w:customStyle="1" w:styleId="AnstrichTabelle">
    <w:name w:val="AnstrichTabelle"/>
    <w:basedOn w:val="Ansricheingerckt"/>
    <w:autoRedefine/>
    <w:rsid w:val="00940C0C"/>
    <w:pPr>
      <w:tabs>
        <w:tab w:val="clear" w:pos="1134"/>
        <w:tab w:val="left" w:pos="356"/>
      </w:tabs>
      <w:spacing w:before="0" w:after="0"/>
      <w:ind w:left="357" w:hanging="357"/>
      <w:jc w:val="both"/>
    </w:pPr>
  </w:style>
  <w:style w:type="paragraph" w:styleId="berarbeitung">
    <w:name w:val="Revision"/>
    <w:hidden/>
    <w:uiPriority w:val="99"/>
    <w:semiHidden/>
    <w:rsid w:val="0018251D"/>
    <w:rPr>
      <w:sz w:val="24"/>
      <w:szCs w:val="24"/>
    </w:rPr>
  </w:style>
  <w:style w:type="paragraph" w:styleId="Kommentarthema">
    <w:name w:val="annotation subject"/>
    <w:basedOn w:val="Kommentartext"/>
    <w:next w:val="Kommentartext"/>
    <w:link w:val="KommentarthemaZchn"/>
    <w:rsid w:val="00734F5A"/>
    <w:pPr>
      <w:spacing w:line="240" w:lineRule="auto"/>
    </w:pPr>
    <w:rPr>
      <w:rFonts w:ascii="Times New Roman" w:hAnsi="Times New Roman"/>
      <w:b/>
      <w:bCs/>
    </w:rPr>
  </w:style>
  <w:style w:type="character" w:customStyle="1" w:styleId="KommentartextZchn">
    <w:name w:val="Kommentartext Zchn"/>
    <w:link w:val="Kommentartext"/>
    <w:semiHidden/>
    <w:rsid w:val="00734F5A"/>
    <w:rPr>
      <w:rFonts w:ascii="Arial" w:hAnsi="Arial"/>
    </w:rPr>
  </w:style>
  <w:style w:type="character" w:customStyle="1" w:styleId="KommentarthemaZchn">
    <w:name w:val="Kommentarthema Zchn"/>
    <w:link w:val="Kommentarthema"/>
    <w:rsid w:val="00734F5A"/>
    <w:rPr>
      <w:rFonts w:ascii="Arial" w:hAnsi="Arial"/>
      <w:b/>
      <w:bCs/>
    </w:rPr>
  </w:style>
  <w:style w:type="paragraph" w:styleId="Listenabsatz">
    <w:name w:val="List Paragraph"/>
    <w:basedOn w:val="Standard"/>
    <w:uiPriority w:val="34"/>
    <w:qFormat/>
    <w:rsid w:val="005F0814"/>
    <w:pPr>
      <w:ind w:left="720"/>
      <w:contextualSpacing/>
    </w:pPr>
  </w:style>
  <w:style w:type="character" w:customStyle="1" w:styleId="KopfzeileZchn">
    <w:name w:val="Kopfzeile Zchn"/>
    <w:link w:val="Kopfzeile"/>
    <w:rsid w:val="00D02D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38AD-D307-43B8-BFAC-0652741D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3081</Words>
  <Characters>20712</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VII.09.0 Richtlinie</vt:lpstr>
    </vt:vector>
  </TitlesOfParts>
  <Company>StMB</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VII.09.0 Richtlinie</dc:title>
  <dc:subject>VII.09.0 Richtlinie</dc:subject>
  <dc:creator>Z5</dc:creator>
  <cp:lastModifiedBy>Sobeck-Schloßbauer, Sarah (StMB)</cp:lastModifiedBy>
  <cp:revision>15</cp:revision>
  <cp:lastPrinted>2019-10-24T07:38:00Z</cp:lastPrinted>
  <dcterms:created xsi:type="dcterms:W3CDTF">2021-05-26T09:37:00Z</dcterms:created>
  <dcterms:modified xsi:type="dcterms:W3CDTF">2021-05-26T14:26:00Z</dcterms:modified>
</cp:coreProperties>
</file>