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7" w:type="dxa"/>
        <w:tblLayout w:type="fixed"/>
        <w:tblLook w:val="01E0" w:firstRow="1" w:lastRow="1" w:firstColumn="1" w:lastColumn="1" w:noHBand="0" w:noVBand="0"/>
      </w:tblPr>
      <w:tblGrid>
        <w:gridCol w:w="1172"/>
        <w:gridCol w:w="666"/>
        <w:gridCol w:w="7839"/>
      </w:tblGrid>
      <w:tr w:rsidR="00595527" w:rsidRPr="00F1612D" w:rsidTr="005D697D">
        <w:trPr>
          <w:cantSplit/>
        </w:trPr>
        <w:tc>
          <w:tcPr>
            <w:tcW w:w="9677" w:type="dxa"/>
            <w:gridSpan w:val="3"/>
            <w:shd w:val="clear" w:color="auto" w:fill="auto"/>
          </w:tcPr>
          <w:p w:rsidR="00595527" w:rsidRPr="00F1612D" w:rsidRDefault="00595527" w:rsidP="00595527">
            <w:pPr>
              <w:rPr>
                <w:b/>
                <w:sz w:val="24"/>
                <w:szCs w:val="24"/>
              </w:rPr>
            </w:pPr>
            <w:bookmarkStart w:id="0" w:name="_GoBack"/>
            <w:bookmarkEnd w:id="0"/>
            <w:r w:rsidRPr="00F1612D">
              <w:rPr>
                <w:b/>
                <w:sz w:val="24"/>
                <w:szCs w:val="24"/>
              </w:rPr>
              <w:t xml:space="preserve">Richtlinie zur Ausfertigung </w:t>
            </w:r>
            <w:r w:rsidR="00574BC5" w:rsidRPr="00F1612D">
              <w:rPr>
                <w:b/>
                <w:sz w:val="24"/>
                <w:szCs w:val="24"/>
              </w:rPr>
              <w:t>von</w:t>
            </w:r>
            <w:r w:rsidRPr="00F1612D">
              <w:rPr>
                <w:b/>
                <w:sz w:val="24"/>
                <w:szCs w:val="24"/>
              </w:rPr>
              <w:t xml:space="preserve"> </w:t>
            </w:r>
          </w:p>
          <w:p w:rsidR="00595527" w:rsidRPr="00F1612D" w:rsidRDefault="00595527" w:rsidP="00595527">
            <w:pPr>
              <w:rPr>
                <w:b/>
                <w:sz w:val="20"/>
              </w:rPr>
            </w:pPr>
          </w:p>
          <w:p w:rsidR="00595527" w:rsidRPr="00F1612D" w:rsidRDefault="00595527" w:rsidP="00595527">
            <w:pPr>
              <w:pStyle w:val="Listenabsatz"/>
              <w:numPr>
                <w:ilvl w:val="0"/>
                <w:numId w:val="34"/>
              </w:numPr>
              <w:ind w:left="392" w:hanging="392"/>
              <w:rPr>
                <w:b/>
                <w:sz w:val="20"/>
              </w:rPr>
            </w:pPr>
            <w:r w:rsidRPr="00F1612D">
              <w:rPr>
                <w:b/>
                <w:sz w:val="20"/>
              </w:rPr>
              <w:t>Vertrag VII.</w:t>
            </w:r>
            <w:r w:rsidR="00B935B7" w:rsidRPr="00F1612D">
              <w:rPr>
                <w:b/>
                <w:sz w:val="20"/>
              </w:rPr>
              <w:t>11.Wa</w:t>
            </w:r>
            <w:r w:rsidRPr="00F1612D">
              <w:rPr>
                <w:b/>
                <w:sz w:val="20"/>
              </w:rPr>
              <w:t xml:space="preserve"> (Technische Ausrüstung)</w:t>
            </w:r>
          </w:p>
          <w:p w:rsidR="00595527" w:rsidRPr="00F1612D" w:rsidRDefault="00595527" w:rsidP="00595527">
            <w:pPr>
              <w:pStyle w:val="Listenabsatz"/>
              <w:numPr>
                <w:ilvl w:val="0"/>
                <w:numId w:val="34"/>
              </w:numPr>
              <w:ind w:left="392" w:hanging="392"/>
              <w:rPr>
                <w:b/>
                <w:sz w:val="20"/>
              </w:rPr>
            </w:pPr>
            <w:r w:rsidRPr="00F1612D">
              <w:rPr>
                <w:b/>
                <w:sz w:val="20"/>
              </w:rPr>
              <w:t>Anlage VII.</w:t>
            </w:r>
            <w:r w:rsidR="00B935B7" w:rsidRPr="00F1612D">
              <w:rPr>
                <w:b/>
                <w:sz w:val="20"/>
              </w:rPr>
              <w:t>11</w:t>
            </w:r>
            <w:r w:rsidRPr="00F1612D">
              <w:rPr>
                <w:b/>
                <w:sz w:val="20"/>
              </w:rPr>
              <w:t>.2</w:t>
            </w:r>
            <w:r w:rsidR="00B935B7" w:rsidRPr="00F1612D">
              <w:rPr>
                <w:b/>
                <w:sz w:val="20"/>
              </w:rPr>
              <w:t>.Wa</w:t>
            </w:r>
            <w:r w:rsidRPr="00F1612D">
              <w:rPr>
                <w:b/>
                <w:sz w:val="20"/>
              </w:rPr>
              <w:t xml:space="preserve"> zu § 6</w:t>
            </w:r>
            <w:r w:rsidR="00893661" w:rsidRPr="00F1612D">
              <w:rPr>
                <w:b/>
                <w:sz w:val="20"/>
              </w:rPr>
              <w:t xml:space="preserve"> </w:t>
            </w:r>
            <w:r w:rsidRPr="00F1612D">
              <w:rPr>
                <w:b/>
                <w:sz w:val="20"/>
              </w:rPr>
              <w:t>und</w:t>
            </w:r>
          </w:p>
          <w:p w:rsidR="00595527" w:rsidRPr="00F1612D" w:rsidRDefault="001C1D4B" w:rsidP="00595527">
            <w:pPr>
              <w:pStyle w:val="Listenabsatz"/>
              <w:numPr>
                <w:ilvl w:val="0"/>
                <w:numId w:val="35"/>
              </w:numPr>
              <w:ind w:left="392" w:hanging="392"/>
              <w:rPr>
                <w:b/>
                <w:sz w:val="20"/>
              </w:rPr>
            </w:pPr>
            <w:r w:rsidRPr="00F1612D">
              <w:rPr>
                <w:b/>
                <w:sz w:val="20"/>
              </w:rPr>
              <w:t>zur Anwendung der Anlage VI</w:t>
            </w:r>
            <w:r w:rsidR="00595527" w:rsidRPr="00F1612D">
              <w:rPr>
                <w:b/>
                <w:sz w:val="20"/>
              </w:rPr>
              <w:t>.</w:t>
            </w:r>
            <w:r w:rsidRPr="00F1612D">
              <w:rPr>
                <w:b/>
                <w:sz w:val="20"/>
              </w:rPr>
              <w:t>1</w:t>
            </w:r>
            <w:r w:rsidR="00595527" w:rsidRPr="00F1612D">
              <w:rPr>
                <w:b/>
                <w:sz w:val="20"/>
              </w:rPr>
              <w:t xml:space="preserve"> (AVB)</w:t>
            </w:r>
          </w:p>
          <w:p w:rsidR="00595527" w:rsidRPr="00F1612D" w:rsidRDefault="00595527" w:rsidP="00595527">
            <w:pPr>
              <w:rPr>
                <w:sz w:val="20"/>
              </w:rPr>
            </w:pPr>
          </w:p>
          <w:p w:rsidR="00D25AB5" w:rsidRPr="00F1612D" w:rsidRDefault="00D25AB5" w:rsidP="00595527">
            <w:pPr>
              <w:rPr>
                <w:sz w:val="20"/>
              </w:rPr>
            </w:pPr>
          </w:p>
          <w:p w:rsidR="00956450" w:rsidRPr="00F1612D" w:rsidRDefault="00956450" w:rsidP="00595527">
            <w:pPr>
              <w:rPr>
                <w:sz w:val="20"/>
              </w:rPr>
            </w:pPr>
          </w:p>
        </w:tc>
      </w:tr>
      <w:tr w:rsidR="002C7C59" w:rsidRPr="00F1612D" w:rsidTr="005D697D">
        <w:trPr>
          <w:cantSplit/>
        </w:trPr>
        <w:tc>
          <w:tcPr>
            <w:tcW w:w="9677" w:type="dxa"/>
            <w:gridSpan w:val="3"/>
            <w:shd w:val="clear" w:color="auto" w:fill="auto"/>
          </w:tcPr>
          <w:p w:rsidR="00595527" w:rsidRPr="00F1612D" w:rsidRDefault="00893661" w:rsidP="00595527">
            <w:pPr>
              <w:rPr>
                <w:rFonts w:cs="Arial"/>
                <w:sz w:val="20"/>
              </w:rPr>
            </w:pPr>
            <w:r w:rsidRPr="00F1612D">
              <w:rPr>
                <w:rFonts w:cs="Arial"/>
                <w:b/>
                <w:sz w:val="20"/>
              </w:rPr>
              <w:t>Vor</w:t>
            </w:r>
            <w:r w:rsidR="00595527" w:rsidRPr="00F1612D">
              <w:rPr>
                <w:rFonts w:cs="Arial"/>
                <w:b/>
                <w:sz w:val="20"/>
              </w:rPr>
              <w:t>bemerkungen</w:t>
            </w:r>
          </w:p>
          <w:p w:rsidR="00595527" w:rsidRPr="00F1612D" w:rsidRDefault="00595527" w:rsidP="00595527">
            <w:pPr>
              <w:rPr>
                <w:rFonts w:cs="Arial"/>
                <w:sz w:val="20"/>
              </w:rPr>
            </w:pPr>
            <w:r w:rsidRPr="00F1612D">
              <w:rPr>
                <w:rFonts w:cs="Arial"/>
                <w:sz w:val="20"/>
              </w:rPr>
              <w:t>Die Vergabe freiberuflicher Leistungen hat nach Maßgabe des VHF Bayern zu erfolgen.</w:t>
            </w:r>
          </w:p>
          <w:p w:rsidR="00595527" w:rsidRPr="00F1612D" w:rsidRDefault="00595527" w:rsidP="00595527">
            <w:pPr>
              <w:rPr>
                <w:rFonts w:cs="Arial"/>
                <w:sz w:val="20"/>
              </w:rPr>
            </w:pPr>
          </w:p>
          <w:p w:rsidR="00595527" w:rsidRPr="00F1612D" w:rsidRDefault="00595527" w:rsidP="00595527">
            <w:pPr>
              <w:rPr>
                <w:rFonts w:cs="Arial"/>
                <w:sz w:val="20"/>
              </w:rPr>
            </w:pPr>
            <w:r w:rsidRPr="00F1612D">
              <w:rPr>
                <w:rFonts w:cs="Arial"/>
                <w:sz w:val="20"/>
              </w:rPr>
              <w:t>Soweit im Vertrag und in den Anlagen Festlegungen zu treffen sind, sind in den dazu vorgesehenen Feldern Ankreuzungen vorzunehmen und bei Leerzeilen entsprechende Eintragungen zu machen. Sofern von den Vorgaben abgewichen werden soll, ist dies gemäß I.6 A Nr. 2 VHF immer rechtzeitig mit der Fachaufsicht abzustimmen.</w:t>
            </w:r>
          </w:p>
          <w:p w:rsidR="00595527" w:rsidRPr="00F1612D" w:rsidRDefault="00595527" w:rsidP="00595527">
            <w:pPr>
              <w:rPr>
                <w:rFonts w:cs="Arial"/>
                <w:sz w:val="20"/>
              </w:rPr>
            </w:pPr>
          </w:p>
          <w:p w:rsidR="00595527" w:rsidRPr="00F1612D" w:rsidRDefault="00595527" w:rsidP="00595527">
            <w:pPr>
              <w:rPr>
                <w:sz w:val="20"/>
              </w:rPr>
            </w:pPr>
            <w:r w:rsidRPr="00F1612D">
              <w:rPr>
                <w:sz w:val="20"/>
              </w:rPr>
              <w:t>Das Vertragsmuster Technische Ausrüstung ist für Leistungen bei der Technischen Ausrüstung von Gebäuden / Ingenieurbauwerken / Freianlagen / Verkehrsanlagen unter Beachtung des Teils 4 Abschnitt 2 HOAI anzuwenden.</w:t>
            </w:r>
          </w:p>
          <w:p w:rsidR="002C7C59" w:rsidRPr="00F1612D" w:rsidRDefault="00595527" w:rsidP="00595527">
            <w:pPr>
              <w:rPr>
                <w:sz w:val="20"/>
              </w:rPr>
            </w:pPr>
            <w:r w:rsidRPr="00F1612D">
              <w:rPr>
                <w:sz w:val="20"/>
              </w:rPr>
              <w:t>Die an die Unternehmer der Energieversorgung, der Telekommunikation bzw. an die Kommunen zu leistenden Anschluss- und Netzbeiträge werden bei den anrechenbaren Kosten und bei der Honorarermittlung nicht berücksichtigt.</w:t>
            </w:r>
          </w:p>
          <w:p w:rsidR="00595527" w:rsidRPr="00F1612D" w:rsidRDefault="00595527" w:rsidP="00595527">
            <w:pPr>
              <w:rPr>
                <w:sz w:val="20"/>
              </w:rPr>
            </w:pPr>
          </w:p>
        </w:tc>
      </w:tr>
      <w:tr w:rsidR="00595527" w:rsidRPr="00F1612D" w:rsidTr="005D697D">
        <w:trPr>
          <w:cantSplit/>
        </w:trPr>
        <w:tc>
          <w:tcPr>
            <w:tcW w:w="9677" w:type="dxa"/>
            <w:gridSpan w:val="3"/>
            <w:shd w:val="clear" w:color="auto" w:fill="auto"/>
          </w:tcPr>
          <w:p w:rsidR="00595527" w:rsidRPr="00F1612D" w:rsidRDefault="00595527" w:rsidP="00574BC5">
            <w:pPr>
              <w:pStyle w:val="Listenabsatz"/>
              <w:numPr>
                <w:ilvl w:val="0"/>
                <w:numId w:val="36"/>
              </w:numPr>
              <w:ind w:left="426" w:hanging="426"/>
              <w:rPr>
                <w:b/>
                <w:sz w:val="20"/>
              </w:rPr>
            </w:pPr>
            <w:r w:rsidRPr="00F1612D">
              <w:rPr>
                <w:b/>
                <w:sz w:val="20"/>
              </w:rPr>
              <w:t>Vertrag Technische Ausrüstung (VII.11</w:t>
            </w:r>
            <w:r w:rsidR="00B935B7" w:rsidRPr="00F1612D">
              <w:rPr>
                <w:b/>
                <w:sz w:val="20"/>
              </w:rPr>
              <w:t>.Wa</w:t>
            </w:r>
            <w:r w:rsidRPr="00F1612D">
              <w:rPr>
                <w:b/>
                <w:sz w:val="20"/>
              </w:rPr>
              <w:t>)</w:t>
            </w:r>
          </w:p>
          <w:p w:rsidR="00595527" w:rsidRPr="00F1612D" w:rsidRDefault="00595527" w:rsidP="00574BC5">
            <w:pPr>
              <w:pStyle w:val="Listenabsatz"/>
              <w:ind w:hanging="720"/>
              <w:rPr>
                <w:b/>
                <w:sz w:val="20"/>
              </w:rPr>
            </w:pPr>
          </w:p>
        </w:tc>
      </w:tr>
      <w:tr w:rsidR="00E616B5" w:rsidRPr="00F1612D" w:rsidTr="005D697D">
        <w:trPr>
          <w:cantSplit/>
          <w:trHeight w:val="2386"/>
        </w:trPr>
        <w:tc>
          <w:tcPr>
            <w:tcW w:w="1172" w:type="dxa"/>
            <w:shd w:val="clear" w:color="auto" w:fill="auto"/>
          </w:tcPr>
          <w:p w:rsidR="00517DA6" w:rsidRPr="00F1612D" w:rsidRDefault="00517DA6" w:rsidP="00F34138">
            <w:pPr>
              <w:ind w:right="-178"/>
              <w:rPr>
                <w:b/>
                <w:sz w:val="20"/>
              </w:rPr>
            </w:pPr>
            <w:r w:rsidRPr="00F1612D">
              <w:rPr>
                <w:b/>
                <w:sz w:val="20"/>
              </w:rPr>
              <w:t>Vertrags-abschluss</w:t>
            </w:r>
          </w:p>
          <w:p w:rsidR="00E616B5" w:rsidRPr="00F1612D" w:rsidRDefault="00E616B5" w:rsidP="00595527">
            <w:pPr>
              <w:rPr>
                <w:b/>
                <w:sz w:val="20"/>
              </w:rPr>
            </w:pPr>
          </w:p>
        </w:tc>
        <w:tc>
          <w:tcPr>
            <w:tcW w:w="8505" w:type="dxa"/>
            <w:gridSpan w:val="2"/>
            <w:shd w:val="clear" w:color="auto" w:fill="auto"/>
          </w:tcPr>
          <w:p w:rsidR="00692563" w:rsidRPr="00F1612D" w:rsidRDefault="00E616B5" w:rsidP="00A53902">
            <w:pPr>
              <w:rPr>
                <w:sz w:val="20"/>
              </w:rPr>
            </w:pPr>
            <w:r w:rsidRPr="00F1612D">
              <w:rPr>
                <w:sz w:val="20"/>
              </w:rPr>
              <w:t xml:space="preserve">Allgemein darf eine Kostenverpflichtung für Planungsleistungen </w:t>
            </w:r>
            <w:r w:rsidR="00692563" w:rsidRPr="00F1612D">
              <w:rPr>
                <w:sz w:val="20"/>
              </w:rPr>
              <w:t xml:space="preserve">nur im Rahmen der bereitgestellten Haushaltsmittel eingegangen werden. </w:t>
            </w:r>
          </w:p>
          <w:p w:rsidR="00E616B5" w:rsidRPr="00F1612D" w:rsidRDefault="00E616B5" w:rsidP="00595527">
            <w:pPr>
              <w:rPr>
                <w:sz w:val="20"/>
              </w:rPr>
            </w:pPr>
            <w:r w:rsidRPr="00F1612D">
              <w:rPr>
                <w:sz w:val="20"/>
              </w:rPr>
              <w:t>Wenn dazu ein freiberuflich tätiger Ingenieur eingeschaltet werden soll, ist d</w:t>
            </w:r>
            <w:r w:rsidR="008519EE" w:rsidRPr="00F1612D">
              <w:rPr>
                <w:sz w:val="20"/>
              </w:rPr>
              <w:t>as</w:t>
            </w:r>
            <w:r w:rsidRPr="00F1612D">
              <w:rPr>
                <w:sz w:val="20"/>
              </w:rPr>
              <w:t xml:space="preserve"> Vertrag</w:t>
            </w:r>
            <w:r w:rsidR="008519EE" w:rsidRPr="00F1612D">
              <w:rPr>
                <w:sz w:val="20"/>
              </w:rPr>
              <w:t xml:space="preserve">smuster </w:t>
            </w:r>
            <w:r w:rsidRPr="00F1612D">
              <w:rPr>
                <w:sz w:val="20"/>
              </w:rPr>
              <w:t>Technische Ausrüstung zu verwenden. Dem freiberuflich Tätigen sind mit dem Vertragsentwurf eine Ausfertigung der Allgemei</w:t>
            </w:r>
            <w:r w:rsidR="008519EE" w:rsidRPr="00F1612D">
              <w:rPr>
                <w:sz w:val="20"/>
              </w:rPr>
              <w:t xml:space="preserve">nen Vertragsbestimmungen (AVB) und </w:t>
            </w:r>
            <w:r w:rsidRPr="00F1612D">
              <w:rPr>
                <w:sz w:val="20"/>
              </w:rPr>
              <w:t xml:space="preserve">die </w:t>
            </w:r>
            <w:r w:rsidR="008519EE" w:rsidRPr="00F1612D">
              <w:rPr>
                <w:sz w:val="20"/>
              </w:rPr>
              <w:t xml:space="preserve">weiteren </w:t>
            </w:r>
            <w:r w:rsidRPr="00F1612D">
              <w:rPr>
                <w:sz w:val="20"/>
              </w:rPr>
              <w:t xml:space="preserve">Anlagen </w:t>
            </w:r>
            <w:r w:rsidR="008519EE" w:rsidRPr="00F1612D">
              <w:rPr>
                <w:sz w:val="20"/>
              </w:rPr>
              <w:t>nach § 2, eine</w:t>
            </w:r>
            <w:r w:rsidRPr="00F1612D">
              <w:rPr>
                <w:sz w:val="20"/>
              </w:rPr>
              <w:t xml:space="preserve"> vorläufige </w:t>
            </w:r>
            <w:r w:rsidR="008519EE" w:rsidRPr="00F1612D">
              <w:rPr>
                <w:sz w:val="20"/>
              </w:rPr>
              <w:t>E</w:t>
            </w:r>
            <w:r w:rsidRPr="00F1612D">
              <w:rPr>
                <w:sz w:val="20"/>
              </w:rPr>
              <w:t xml:space="preserve">rmittlung der Vergütung und weitere für die Vertragserfüllung notwendige Unterlagen zu übergeben. </w:t>
            </w:r>
          </w:p>
          <w:p w:rsidR="00E616B5" w:rsidRPr="00F1612D" w:rsidRDefault="00E616B5" w:rsidP="00595527">
            <w:pPr>
              <w:rPr>
                <w:sz w:val="20"/>
              </w:rPr>
            </w:pPr>
            <w:r w:rsidRPr="00F1612D">
              <w:rPr>
                <w:sz w:val="20"/>
              </w:rPr>
              <w:t xml:space="preserve">Die Anlage </w:t>
            </w:r>
            <w:r w:rsidR="008519EE" w:rsidRPr="00F1612D">
              <w:rPr>
                <w:sz w:val="20"/>
              </w:rPr>
              <w:t>VII.</w:t>
            </w:r>
            <w:r w:rsidR="00B935B7" w:rsidRPr="00F1612D">
              <w:rPr>
                <w:sz w:val="20"/>
              </w:rPr>
              <w:t>11</w:t>
            </w:r>
            <w:r w:rsidR="008519EE" w:rsidRPr="00F1612D">
              <w:rPr>
                <w:sz w:val="20"/>
              </w:rPr>
              <w:t>.2</w:t>
            </w:r>
            <w:r w:rsidR="00B935B7" w:rsidRPr="00F1612D">
              <w:rPr>
                <w:sz w:val="20"/>
              </w:rPr>
              <w:t>.Wa</w:t>
            </w:r>
            <w:r w:rsidR="008519EE" w:rsidRPr="00F1612D">
              <w:rPr>
                <w:sz w:val="20"/>
              </w:rPr>
              <w:t xml:space="preserve"> </w:t>
            </w:r>
            <w:r w:rsidRPr="00F1612D">
              <w:rPr>
                <w:sz w:val="20"/>
              </w:rPr>
              <w:t xml:space="preserve">zu § 6 ist </w:t>
            </w:r>
            <w:r w:rsidR="004827B2" w:rsidRPr="00F1612D">
              <w:rPr>
                <w:sz w:val="20"/>
              </w:rPr>
              <w:t>für jede</w:t>
            </w:r>
            <w:r w:rsidRPr="00F1612D">
              <w:rPr>
                <w:sz w:val="20"/>
              </w:rPr>
              <w:t xml:space="preserve"> Anlagengruppen </w:t>
            </w:r>
            <w:r w:rsidR="004827B2" w:rsidRPr="00F1612D">
              <w:rPr>
                <w:sz w:val="20"/>
              </w:rPr>
              <w:t>einzeln auszufertigen.</w:t>
            </w:r>
          </w:p>
          <w:p w:rsidR="004827B2" w:rsidRPr="00F1612D" w:rsidRDefault="004827B2" w:rsidP="00595527">
            <w:pPr>
              <w:rPr>
                <w:sz w:val="20"/>
              </w:rPr>
            </w:pPr>
          </w:p>
          <w:p w:rsidR="00574BC5" w:rsidRPr="00F1612D" w:rsidRDefault="00517DA6" w:rsidP="00595527">
            <w:pPr>
              <w:rPr>
                <w:rFonts w:cs="Arial"/>
                <w:sz w:val="20"/>
              </w:rPr>
            </w:pPr>
            <w:r w:rsidRPr="00F1612D">
              <w:rPr>
                <w:rFonts w:cs="Arial"/>
                <w:sz w:val="20"/>
              </w:rPr>
              <w:t>Da jeder Auftragnehmer gemäß KorruR eine Verpflichtungserklärung abgeben muss, ist das Muster „Verpflichtungserklärung“ (VI.11 VHF) dem Vertrag schon im Entwurf als Anlage zum Vertrag beizufügen.</w:t>
            </w:r>
          </w:p>
          <w:p w:rsidR="00517DA6" w:rsidRPr="00F1612D" w:rsidRDefault="00517DA6" w:rsidP="00595527">
            <w:pPr>
              <w:rPr>
                <w:sz w:val="20"/>
              </w:rPr>
            </w:pPr>
          </w:p>
          <w:p w:rsidR="00E616B5" w:rsidRPr="00F1612D" w:rsidRDefault="00E616B5" w:rsidP="00595527">
            <w:pPr>
              <w:rPr>
                <w:sz w:val="20"/>
              </w:rPr>
            </w:pPr>
            <w:r w:rsidRPr="00F1612D">
              <w:rPr>
                <w:sz w:val="20"/>
              </w:rPr>
              <w:t>Die AVB dürfen nicht geändert werden.</w:t>
            </w:r>
          </w:p>
        </w:tc>
      </w:tr>
      <w:tr w:rsidR="00D51E61" w:rsidRPr="00F1612D" w:rsidTr="005D697D">
        <w:trPr>
          <w:cantSplit/>
        </w:trPr>
        <w:tc>
          <w:tcPr>
            <w:tcW w:w="1172" w:type="dxa"/>
            <w:shd w:val="clear" w:color="auto" w:fill="auto"/>
          </w:tcPr>
          <w:p w:rsidR="00D51E61" w:rsidRPr="00F1612D" w:rsidRDefault="00D51E61" w:rsidP="00595527">
            <w:pPr>
              <w:rPr>
                <w:b/>
                <w:sz w:val="20"/>
              </w:rPr>
            </w:pPr>
          </w:p>
        </w:tc>
        <w:tc>
          <w:tcPr>
            <w:tcW w:w="8505" w:type="dxa"/>
            <w:gridSpan w:val="2"/>
            <w:shd w:val="clear" w:color="auto" w:fill="auto"/>
          </w:tcPr>
          <w:p w:rsidR="00D51E61" w:rsidRPr="00F1612D" w:rsidRDefault="00D51E61" w:rsidP="00595527">
            <w:pPr>
              <w:rPr>
                <w:sz w:val="20"/>
              </w:rPr>
            </w:pPr>
          </w:p>
        </w:tc>
      </w:tr>
      <w:tr w:rsidR="00E616B5" w:rsidRPr="00F1612D" w:rsidTr="005D697D">
        <w:trPr>
          <w:cantSplit/>
        </w:trPr>
        <w:tc>
          <w:tcPr>
            <w:tcW w:w="1172" w:type="dxa"/>
            <w:shd w:val="clear" w:color="auto" w:fill="auto"/>
          </w:tcPr>
          <w:p w:rsidR="00E616B5" w:rsidRPr="00F1612D" w:rsidRDefault="004827B2" w:rsidP="00595527">
            <w:pPr>
              <w:rPr>
                <w:b/>
                <w:sz w:val="20"/>
              </w:rPr>
            </w:pPr>
            <w:r w:rsidRPr="00F1612D">
              <w:rPr>
                <w:b/>
                <w:sz w:val="20"/>
              </w:rPr>
              <w:t>Deckblatt</w:t>
            </w:r>
          </w:p>
        </w:tc>
        <w:tc>
          <w:tcPr>
            <w:tcW w:w="8505" w:type="dxa"/>
            <w:gridSpan w:val="2"/>
            <w:shd w:val="clear" w:color="auto" w:fill="auto"/>
          </w:tcPr>
          <w:p w:rsidR="00E616B5" w:rsidRPr="00F1612D" w:rsidRDefault="00E616B5" w:rsidP="00A53902">
            <w:pPr>
              <w:rPr>
                <w:sz w:val="20"/>
              </w:rPr>
            </w:pPr>
            <w:r w:rsidRPr="00F1612D">
              <w:rPr>
                <w:sz w:val="20"/>
              </w:rPr>
              <w:t xml:space="preserve">Die Angaben zu den Vertragsparteien sind vollständig einzutragen. </w:t>
            </w:r>
          </w:p>
        </w:tc>
      </w:tr>
      <w:tr w:rsidR="00E616B5" w:rsidRPr="00F1612D" w:rsidTr="005D697D">
        <w:trPr>
          <w:cantSplit/>
          <w:trHeight w:val="89"/>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sz w:val="20"/>
              </w:rPr>
            </w:pPr>
            <w:r w:rsidRPr="00F1612D">
              <w:rPr>
                <w:sz w:val="20"/>
              </w:rPr>
              <w:t xml:space="preserve">Eine Vertretung der Auftragnehmerseite ist auf dem Deckblatt immer anzugeben: </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666" w:type="dxa"/>
            <w:shd w:val="clear" w:color="auto" w:fill="auto"/>
          </w:tcPr>
          <w:p w:rsidR="00E616B5" w:rsidRPr="00F1612D" w:rsidRDefault="00E616B5" w:rsidP="00595527">
            <w:pPr>
              <w:rPr>
                <w:sz w:val="20"/>
              </w:rPr>
            </w:pPr>
            <w:r w:rsidRPr="00F1612D">
              <w:rPr>
                <w:sz w:val="20"/>
              </w:rPr>
              <w:t>-</w:t>
            </w:r>
          </w:p>
        </w:tc>
        <w:tc>
          <w:tcPr>
            <w:tcW w:w="7839" w:type="dxa"/>
            <w:shd w:val="clear" w:color="auto" w:fill="auto"/>
          </w:tcPr>
          <w:p w:rsidR="00E616B5" w:rsidRPr="00F1612D" w:rsidRDefault="00E616B5" w:rsidP="00595527">
            <w:pPr>
              <w:rPr>
                <w:sz w:val="20"/>
              </w:rPr>
            </w:pPr>
            <w:r w:rsidRPr="00F1612D">
              <w:rPr>
                <w:sz w:val="20"/>
              </w:rPr>
              <w:t>bei Arbeitsgemeinschaften,</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666" w:type="dxa"/>
            <w:shd w:val="clear" w:color="auto" w:fill="auto"/>
          </w:tcPr>
          <w:p w:rsidR="00E616B5" w:rsidRPr="00F1612D" w:rsidRDefault="00E616B5" w:rsidP="00595527">
            <w:pPr>
              <w:rPr>
                <w:sz w:val="20"/>
              </w:rPr>
            </w:pPr>
            <w:r w:rsidRPr="00F1612D">
              <w:rPr>
                <w:sz w:val="20"/>
              </w:rPr>
              <w:t xml:space="preserve">- </w:t>
            </w:r>
          </w:p>
        </w:tc>
        <w:tc>
          <w:tcPr>
            <w:tcW w:w="7839" w:type="dxa"/>
            <w:shd w:val="clear" w:color="auto" w:fill="auto"/>
          </w:tcPr>
          <w:p w:rsidR="00956450" w:rsidRPr="00F1612D" w:rsidRDefault="00E616B5" w:rsidP="00595527">
            <w:pPr>
              <w:rPr>
                <w:sz w:val="20"/>
              </w:rPr>
            </w:pPr>
            <w:r w:rsidRPr="00F1612D">
              <w:rPr>
                <w:sz w:val="20"/>
              </w:rPr>
              <w:t>wenn der Auftragnehmer einen rechtsgeschäftlich Bevollmächtigten bestimmt.</w:t>
            </w:r>
          </w:p>
        </w:tc>
      </w:tr>
      <w:tr w:rsidR="00956450" w:rsidRPr="00F1612D" w:rsidTr="005D697D">
        <w:trPr>
          <w:cantSplit/>
        </w:trPr>
        <w:tc>
          <w:tcPr>
            <w:tcW w:w="1172" w:type="dxa"/>
            <w:shd w:val="clear" w:color="auto" w:fill="auto"/>
          </w:tcPr>
          <w:p w:rsidR="00956450" w:rsidRPr="00F1612D" w:rsidRDefault="00956450" w:rsidP="005D697D">
            <w:pPr>
              <w:jc w:val="left"/>
              <w:rPr>
                <w:b/>
                <w:sz w:val="20"/>
              </w:rPr>
            </w:pPr>
          </w:p>
        </w:tc>
        <w:tc>
          <w:tcPr>
            <w:tcW w:w="8505" w:type="dxa"/>
            <w:gridSpan w:val="2"/>
            <w:shd w:val="clear" w:color="auto" w:fill="auto"/>
          </w:tcPr>
          <w:p w:rsidR="00956450" w:rsidRPr="00F1612D" w:rsidRDefault="00956450" w:rsidP="00595527">
            <w:pPr>
              <w:rPr>
                <w:b/>
                <w:sz w:val="20"/>
              </w:rPr>
            </w:pPr>
          </w:p>
        </w:tc>
      </w:tr>
      <w:tr w:rsidR="00E616B5" w:rsidRPr="00F1612D" w:rsidTr="005D697D">
        <w:trPr>
          <w:cantSplit/>
        </w:trPr>
        <w:tc>
          <w:tcPr>
            <w:tcW w:w="1172" w:type="dxa"/>
            <w:shd w:val="clear" w:color="auto" w:fill="auto"/>
          </w:tcPr>
          <w:p w:rsidR="00E616B5" w:rsidRPr="00F1612D" w:rsidRDefault="00E616B5" w:rsidP="005D697D">
            <w:pPr>
              <w:jc w:val="left"/>
              <w:rPr>
                <w:b/>
                <w:sz w:val="20"/>
              </w:rPr>
            </w:pPr>
            <w:r w:rsidRPr="00F1612D">
              <w:rPr>
                <w:b/>
                <w:sz w:val="20"/>
              </w:rPr>
              <w:t>Zu § 1</w:t>
            </w:r>
            <w:r w:rsidRPr="00F1612D">
              <w:rPr>
                <w:b/>
                <w:sz w:val="20"/>
              </w:rPr>
              <w:br/>
            </w:r>
          </w:p>
        </w:tc>
        <w:tc>
          <w:tcPr>
            <w:tcW w:w="8505" w:type="dxa"/>
            <w:gridSpan w:val="2"/>
            <w:shd w:val="clear" w:color="auto" w:fill="auto"/>
          </w:tcPr>
          <w:p w:rsidR="00E616B5" w:rsidRPr="00F1612D" w:rsidRDefault="00E616B5" w:rsidP="00595527">
            <w:pPr>
              <w:rPr>
                <w:b/>
                <w:sz w:val="20"/>
              </w:rPr>
            </w:pPr>
            <w:r w:rsidRPr="00F1612D">
              <w:rPr>
                <w:b/>
                <w:sz w:val="20"/>
              </w:rPr>
              <w:t>Vertragsgegenstand</w:t>
            </w:r>
          </w:p>
          <w:p w:rsidR="00E616B5" w:rsidRPr="00F1612D" w:rsidRDefault="00E616B5" w:rsidP="00595527">
            <w:pPr>
              <w:rPr>
                <w:sz w:val="20"/>
              </w:rPr>
            </w:pPr>
            <w:r w:rsidRPr="00F1612D">
              <w:rPr>
                <w:sz w:val="20"/>
              </w:rPr>
              <w:t>Die Technische Ausrüstung nach § 1 Nr</w:t>
            </w:r>
            <w:r w:rsidR="00671693" w:rsidRPr="00F1612D">
              <w:rPr>
                <w:sz w:val="20"/>
              </w:rPr>
              <w:t>.</w:t>
            </w:r>
            <w:r w:rsidRPr="00F1612D">
              <w:rPr>
                <w:sz w:val="20"/>
              </w:rPr>
              <w:t xml:space="preserve"> 1.1 des Vertrages kann Anlagengruppen nach § 53 HOAI in einer oder mehreren baulichen Anlagen umfassen. </w:t>
            </w:r>
          </w:p>
          <w:p w:rsidR="00E616B5" w:rsidRPr="00F1612D" w:rsidRDefault="00E616B5" w:rsidP="00595527">
            <w:pPr>
              <w:rPr>
                <w:sz w:val="20"/>
              </w:rPr>
            </w:pPr>
            <w:r w:rsidRPr="00F1612D">
              <w:rPr>
                <w:sz w:val="20"/>
              </w:rPr>
              <w:t xml:space="preserve">Bezieht sich der Vertrag auf eine Baumaßnahme mit mehreren Objekten/baulichen Anlagen, sind diese in </w:t>
            </w:r>
            <w:r w:rsidR="00AE1BE7" w:rsidRPr="00F1612D">
              <w:rPr>
                <w:sz w:val="20"/>
              </w:rPr>
              <w:t>ein</w:t>
            </w:r>
            <w:r w:rsidRPr="00F1612D">
              <w:rPr>
                <w:sz w:val="20"/>
              </w:rPr>
              <w:t>er</w:t>
            </w:r>
            <w:r w:rsidR="00AE1BE7" w:rsidRPr="00F1612D">
              <w:rPr>
                <w:sz w:val="20"/>
              </w:rPr>
              <w:t xml:space="preserve"> formlosen</w:t>
            </w:r>
            <w:r w:rsidRPr="00F1612D">
              <w:rPr>
                <w:sz w:val="20"/>
              </w:rPr>
              <w:t xml:space="preserve"> Anlage zu § 1 Nr</w:t>
            </w:r>
            <w:r w:rsidR="00671693" w:rsidRPr="00F1612D">
              <w:rPr>
                <w:sz w:val="20"/>
              </w:rPr>
              <w:t>.</w:t>
            </w:r>
            <w:r w:rsidRPr="00F1612D">
              <w:rPr>
                <w:sz w:val="20"/>
              </w:rPr>
              <w:t xml:space="preserve"> 1.1 aufzuführen. </w:t>
            </w:r>
          </w:p>
          <w:p w:rsidR="00E616B5" w:rsidRPr="00F1612D" w:rsidRDefault="00E616B5"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 xml:space="preserve">Zu § 2 </w:t>
            </w:r>
          </w:p>
          <w:p w:rsidR="00E616B5" w:rsidRPr="00F1612D" w:rsidRDefault="00E616B5" w:rsidP="00757788">
            <w:pPr>
              <w:rPr>
                <w:b/>
                <w:sz w:val="20"/>
              </w:rPr>
            </w:pPr>
            <w:r w:rsidRPr="00F1612D">
              <w:rPr>
                <w:b/>
                <w:sz w:val="20"/>
              </w:rPr>
              <w:t>2.3.</w:t>
            </w:r>
          </w:p>
        </w:tc>
        <w:tc>
          <w:tcPr>
            <w:tcW w:w="8505" w:type="dxa"/>
            <w:gridSpan w:val="2"/>
            <w:shd w:val="clear" w:color="auto" w:fill="auto"/>
          </w:tcPr>
          <w:p w:rsidR="00E616B5" w:rsidRPr="00F1612D" w:rsidRDefault="00E616B5" w:rsidP="00595527">
            <w:pPr>
              <w:rPr>
                <w:b/>
                <w:sz w:val="20"/>
              </w:rPr>
            </w:pPr>
            <w:r w:rsidRPr="00F1612D">
              <w:rPr>
                <w:b/>
                <w:sz w:val="20"/>
              </w:rPr>
              <w:t>Bestandteile und Grundlagen des Vertrags</w:t>
            </w:r>
          </w:p>
          <w:p w:rsidR="00E616B5" w:rsidRPr="00F1612D" w:rsidRDefault="00E616B5" w:rsidP="00595527">
            <w:pPr>
              <w:rPr>
                <w:sz w:val="20"/>
              </w:rPr>
            </w:pPr>
            <w:r w:rsidRPr="00F1612D">
              <w:rPr>
                <w:sz w:val="20"/>
              </w:rPr>
              <w:t xml:space="preserve">Datum ist das Aufstelldatum der </w:t>
            </w:r>
            <w:r w:rsidR="001F5403" w:rsidRPr="00F1612D">
              <w:rPr>
                <w:sz w:val="20"/>
              </w:rPr>
              <w:t>jeweiligen Unterlage.</w:t>
            </w:r>
            <w:r w:rsidRPr="00F1612D">
              <w:rPr>
                <w:sz w:val="20"/>
              </w:rPr>
              <w:t xml:space="preserve"> </w:t>
            </w:r>
          </w:p>
          <w:p w:rsidR="001F5403" w:rsidRPr="00F1612D" w:rsidRDefault="001F5403" w:rsidP="001F5403">
            <w:pPr>
              <w:rPr>
                <w:sz w:val="20"/>
              </w:rPr>
            </w:pPr>
          </w:p>
        </w:tc>
      </w:tr>
      <w:tr w:rsidR="00E616B5" w:rsidRPr="00F1612D" w:rsidTr="005D697D">
        <w:trPr>
          <w:cantSplit/>
        </w:trPr>
        <w:tc>
          <w:tcPr>
            <w:tcW w:w="1172" w:type="dxa"/>
            <w:shd w:val="clear" w:color="auto" w:fill="auto"/>
          </w:tcPr>
          <w:p w:rsidR="00E616B5" w:rsidRPr="00F1612D" w:rsidRDefault="00E616B5" w:rsidP="001F5403">
            <w:pPr>
              <w:jc w:val="left"/>
              <w:rPr>
                <w:b/>
                <w:sz w:val="20"/>
              </w:rPr>
            </w:pPr>
            <w:r w:rsidRPr="00F1612D">
              <w:rPr>
                <w:b/>
                <w:sz w:val="20"/>
              </w:rPr>
              <w:lastRenderedPageBreak/>
              <w:t xml:space="preserve">Zu § 3 </w:t>
            </w:r>
            <w:r w:rsidRPr="00F1612D">
              <w:rPr>
                <w:b/>
                <w:sz w:val="20"/>
              </w:rPr>
              <w:br/>
            </w:r>
            <w:r w:rsidR="00757788" w:rsidRPr="00F1612D">
              <w:rPr>
                <w:b/>
                <w:sz w:val="20"/>
              </w:rPr>
              <w:t>3.1</w:t>
            </w:r>
          </w:p>
        </w:tc>
        <w:tc>
          <w:tcPr>
            <w:tcW w:w="8505" w:type="dxa"/>
            <w:gridSpan w:val="2"/>
            <w:shd w:val="clear" w:color="auto" w:fill="auto"/>
          </w:tcPr>
          <w:p w:rsidR="00E616B5" w:rsidRPr="00F1612D" w:rsidRDefault="00E616B5" w:rsidP="00595527">
            <w:pPr>
              <w:rPr>
                <w:b/>
                <w:sz w:val="20"/>
              </w:rPr>
            </w:pPr>
            <w:r w:rsidRPr="00F1612D">
              <w:rPr>
                <w:b/>
                <w:sz w:val="20"/>
              </w:rPr>
              <w:t>Übergabe von Vertragsunterlagen</w:t>
            </w:r>
          </w:p>
          <w:p w:rsidR="00E616B5" w:rsidRPr="00F1612D" w:rsidRDefault="00E616B5" w:rsidP="00595527">
            <w:pPr>
              <w:rPr>
                <w:sz w:val="20"/>
              </w:rPr>
            </w:pPr>
            <w:r w:rsidRPr="00F1612D">
              <w:rPr>
                <w:sz w:val="20"/>
              </w:rPr>
              <w:t>Alle zum Zeitpunkt des Vertragsabschlusses vorliegenden, für die Vertragsleistung maßgeblichen Unterlagen sind aufzulisten und dem Auftragnehmer in der erforderlichen Anzahl zu übergeben.</w:t>
            </w:r>
          </w:p>
          <w:p w:rsidR="001F5403" w:rsidRPr="00F1612D" w:rsidRDefault="001F5403"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 xml:space="preserve">Zu § 4 </w:t>
            </w:r>
          </w:p>
          <w:p w:rsidR="00E616B5" w:rsidRPr="00F1612D" w:rsidRDefault="00E616B5" w:rsidP="005D697D">
            <w:pPr>
              <w:ind w:right="-108"/>
              <w:rPr>
                <w:b/>
                <w:sz w:val="20"/>
              </w:rPr>
            </w:pPr>
          </w:p>
        </w:tc>
        <w:tc>
          <w:tcPr>
            <w:tcW w:w="8505" w:type="dxa"/>
            <w:gridSpan w:val="2"/>
            <w:shd w:val="clear" w:color="auto" w:fill="auto"/>
          </w:tcPr>
          <w:p w:rsidR="00E616B5" w:rsidRPr="00F1612D" w:rsidRDefault="00E616B5" w:rsidP="00595527">
            <w:pPr>
              <w:rPr>
                <w:b/>
                <w:sz w:val="20"/>
              </w:rPr>
            </w:pPr>
            <w:r w:rsidRPr="00F1612D">
              <w:rPr>
                <w:b/>
                <w:sz w:val="20"/>
              </w:rPr>
              <w:t>Leistungspflichten des Auftragnehmers, stufenweise Beauftragung</w:t>
            </w:r>
          </w:p>
          <w:p w:rsidR="00E616B5" w:rsidRPr="00F1612D" w:rsidRDefault="00E616B5" w:rsidP="00595527">
            <w:pPr>
              <w:rPr>
                <w:sz w:val="20"/>
              </w:rPr>
            </w:pPr>
            <w:r w:rsidRPr="00F1612D">
              <w:rPr>
                <w:sz w:val="20"/>
              </w:rPr>
              <w:t>Im Vertrag bzw. in der/den Anlage</w:t>
            </w:r>
            <w:r w:rsidR="00F70B38" w:rsidRPr="00F1612D">
              <w:rPr>
                <w:sz w:val="20"/>
              </w:rPr>
              <w:t>/</w:t>
            </w:r>
            <w:r w:rsidRPr="00F1612D">
              <w:rPr>
                <w:sz w:val="20"/>
              </w:rPr>
              <w:t>n</w:t>
            </w:r>
            <w:r w:rsidR="00F70B38" w:rsidRPr="00F1612D">
              <w:rPr>
                <w:sz w:val="20"/>
              </w:rPr>
              <w:t xml:space="preserve"> VII.</w:t>
            </w:r>
            <w:r w:rsidR="00B935B7" w:rsidRPr="00F1612D">
              <w:rPr>
                <w:sz w:val="20"/>
              </w:rPr>
              <w:t>11</w:t>
            </w:r>
            <w:r w:rsidR="00F70B38" w:rsidRPr="00F1612D">
              <w:rPr>
                <w:sz w:val="20"/>
              </w:rPr>
              <w:t>.2</w:t>
            </w:r>
            <w:r w:rsidR="00B935B7" w:rsidRPr="00F1612D">
              <w:rPr>
                <w:sz w:val="20"/>
              </w:rPr>
              <w:t>.Wa</w:t>
            </w:r>
            <w:r w:rsidRPr="00F1612D">
              <w:rPr>
                <w:sz w:val="20"/>
              </w:rPr>
              <w:t xml:space="preserve"> zu § 6 </w:t>
            </w:r>
            <w:r w:rsidR="00F70B38" w:rsidRPr="00F1612D">
              <w:rPr>
                <w:sz w:val="20"/>
              </w:rPr>
              <w:t>(</w:t>
            </w:r>
            <w:r w:rsidRPr="00F1612D">
              <w:rPr>
                <w:sz w:val="20"/>
              </w:rPr>
              <w:t>spezifische Leistungspflichten</w:t>
            </w:r>
            <w:r w:rsidR="00F70B38" w:rsidRPr="00F1612D">
              <w:rPr>
                <w:sz w:val="20"/>
              </w:rPr>
              <w:t>)</w:t>
            </w:r>
            <w:r w:rsidRPr="00F1612D">
              <w:rPr>
                <w:sz w:val="20"/>
              </w:rPr>
              <w:t xml:space="preserve"> sind die Leistungen zu kennzeichnen/aufzuführen, deren Übertragung an den Auftragnehmer gemäß der Projektorganisation vorgesehen ist.</w:t>
            </w:r>
          </w:p>
          <w:p w:rsidR="001F5403" w:rsidRPr="00F1612D" w:rsidRDefault="001F5403" w:rsidP="00595527">
            <w:pPr>
              <w:rPr>
                <w:sz w:val="20"/>
              </w:rPr>
            </w:pPr>
          </w:p>
        </w:tc>
      </w:tr>
      <w:tr w:rsidR="00E616B5" w:rsidRPr="00F1612D" w:rsidTr="005D697D">
        <w:trPr>
          <w:cantSplit/>
        </w:trPr>
        <w:tc>
          <w:tcPr>
            <w:tcW w:w="1172" w:type="dxa"/>
            <w:shd w:val="clear" w:color="auto" w:fill="auto"/>
          </w:tcPr>
          <w:p w:rsidR="00E616B5" w:rsidRPr="00F1612D" w:rsidRDefault="00E616B5" w:rsidP="001F5403">
            <w:pPr>
              <w:rPr>
                <w:b/>
                <w:sz w:val="20"/>
              </w:rPr>
            </w:pPr>
            <w:r w:rsidRPr="00F1612D">
              <w:rPr>
                <w:b/>
                <w:sz w:val="20"/>
              </w:rPr>
              <w:t>4.2.1/4.2.2</w:t>
            </w:r>
          </w:p>
        </w:tc>
        <w:tc>
          <w:tcPr>
            <w:tcW w:w="8505" w:type="dxa"/>
            <w:gridSpan w:val="2"/>
            <w:shd w:val="clear" w:color="auto" w:fill="auto"/>
          </w:tcPr>
          <w:p w:rsidR="00E616B5" w:rsidRPr="00F1612D" w:rsidRDefault="00E616B5" w:rsidP="00595527">
            <w:pPr>
              <w:rPr>
                <w:b/>
                <w:sz w:val="20"/>
              </w:rPr>
            </w:pPr>
            <w:r w:rsidRPr="00F1612D">
              <w:rPr>
                <w:b/>
                <w:sz w:val="20"/>
              </w:rPr>
              <w:t>Stufenweise Beauftragung</w:t>
            </w:r>
          </w:p>
          <w:p w:rsidR="00F70B38" w:rsidRPr="00F1612D" w:rsidRDefault="00E616B5" w:rsidP="00F70B38">
            <w:pPr>
              <w:rPr>
                <w:sz w:val="20"/>
              </w:rPr>
            </w:pPr>
            <w:r w:rsidRPr="00F1612D">
              <w:rPr>
                <w:sz w:val="20"/>
              </w:rPr>
              <w:t>Der Auftragnehmer soll zunächst nur mit den spezifischen Leistungspflichten nach § 6 i</w:t>
            </w:r>
            <w:r w:rsidR="00AE1BE7" w:rsidRPr="00F1612D">
              <w:rPr>
                <w:sz w:val="20"/>
              </w:rPr>
              <w:t>.</w:t>
            </w:r>
            <w:r w:rsidRPr="00F1612D">
              <w:rPr>
                <w:sz w:val="20"/>
              </w:rPr>
              <w:t xml:space="preserve"> V</w:t>
            </w:r>
            <w:r w:rsidR="00AE1BE7" w:rsidRPr="00F1612D">
              <w:rPr>
                <w:sz w:val="20"/>
              </w:rPr>
              <w:t>.</w:t>
            </w:r>
            <w:r w:rsidRPr="00F1612D">
              <w:rPr>
                <w:sz w:val="20"/>
              </w:rPr>
              <w:t xml:space="preserve"> m</w:t>
            </w:r>
            <w:r w:rsidR="00AE1BE7" w:rsidRPr="00F1612D">
              <w:rPr>
                <w:sz w:val="20"/>
              </w:rPr>
              <w:t>.</w:t>
            </w:r>
            <w:r w:rsidRPr="00F1612D">
              <w:rPr>
                <w:sz w:val="20"/>
              </w:rPr>
              <w:t xml:space="preserve"> § 5 des Vertrages und der/den Anlage(n) zu § 6 beauftragt werden, die </w:t>
            </w:r>
            <w:r w:rsidR="000619E8" w:rsidRPr="00F1612D">
              <w:rPr>
                <w:sz w:val="20"/>
              </w:rPr>
              <w:t xml:space="preserve">zur Erstellung des </w:t>
            </w:r>
            <w:r w:rsidR="00B53AD2" w:rsidRPr="00F1612D">
              <w:rPr>
                <w:sz w:val="20"/>
              </w:rPr>
              <w:t>E</w:t>
            </w:r>
            <w:r w:rsidR="000619E8" w:rsidRPr="00F1612D">
              <w:rPr>
                <w:sz w:val="20"/>
              </w:rPr>
              <w:t>ntwurfs (§ 6 Nr. 6.1)</w:t>
            </w:r>
            <w:r w:rsidR="00D937A7" w:rsidRPr="00F1612D">
              <w:rPr>
                <w:sz w:val="20"/>
              </w:rPr>
              <w:t xml:space="preserve"> </w:t>
            </w:r>
            <w:r w:rsidRPr="00F1612D">
              <w:rPr>
                <w:sz w:val="20"/>
              </w:rPr>
              <w:t xml:space="preserve">erforderlich sind; der Auftragnehmer hat hierzu auch die allgemeinen Leistungspflichten (§ 5) mit zu erfüllen. </w:t>
            </w:r>
          </w:p>
          <w:p w:rsidR="00E616B5" w:rsidRPr="00F1612D" w:rsidRDefault="00E616B5" w:rsidP="00F70B38">
            <w:pPr>
              <w:rPr>
                <w:sz w:val="20"/>
              </w:rPr>
            </w:pPr>
            <w:r w:rsidRPr="00F1612D">
              <w:rPr>
                <w:sz w:val="20"/>
              </w:rPr>
              <w:t>Soweit im Ausnahmefall Leistungen weiterer Leistungsstufen oder Teile davon mitbeauftragt werden sollen, ist dies i</w:t>
            </w:r>
            <w:r w:rsidR="00F70B38" w:rsidRPr="00F1612D">
              <w:rPr>
                <w:sz w:val="20"/>
              </w:rPr>
              <w:t>n der</w:t>
            </w:r>
            <w:r w:rsidRPr="00F1612D">
              <w:rPr>
                <w:sz w:val="20"/>
              </w:rPr>
              <w:t xml:space="preserve"> </w:t>
            </w:r>
            <w:r w:rsidR="00F70B38" w:rsidRPr="00F1612D">
              <w:rPr>
                <w:sz w:val="20"/>
              </w:rPr>
              <w:t>Dokumentation</w:t>
            </w:r>
            <w:r w:rsidRPr="00F1612D">
              <w:rPr>
                <w:sz w:val="20"/>
              </w:rPr>
              <w:t xml:space="preserve"> besonders zu begründen. Die weiteren Leistungen werden je nach Bedarf einzeln oder zusammengefasst</w:t>
            </w:r>
            <w:r w:rsidR="00671693" w:rsidRPr="00F1612D">
              <w:rPr>
                <w:sz w:val="20"/>
              </w:rPr>
              <w:t>,</w:t>
            </w:r>
            <w:r w:rsidRPr="00F1612D">
              <w:rPr>
                <w:sz w:val="20"/>
              </w:rPr>
              <w:t xml:space="preserve"> durch ein gesondertes Schreiben abgerufen, in dem auch das im Vertrag bereits festgelegte Honorar zu erwähnen ist. </w:t>
            </w:r>
          </w:p>
          <w:p w:rsidR="00E616B5" w:rsidRPr="00F1612D" w:rsidRDefault="00E616B5" w:rsidP="00595527">
            <w:pPr>
              <w:rPr>
                <w:sz w:val="20"/>
              </w:rPr>
            </w:pPr>
            <w:r w:rsidRPr="00F1612D">
              <w:rPr>
                <w:sz w:val="20"/>
              </w:rPr>
              <w:t>In der Regel sollen die Leistungsstufen 2, 3 und 4 an denselben Auftragnehmer vergeben werden, es sei denn, die Projektorganisation sieht im Bedarfsfall eine Aufteilung auf mehrere Auftragnehmer vor.</w:t>
            </w:r>
          </w:p>
          <w:p w:rsidR="00E616B5" w:rsidRPr="00F1612D" w:rsidRDefault="00E616B5" w:rsidP="00595527">
            <w:pPr>
              <w:rPr>
                <w:sz w:val="20"/>
              </w:rPr>
            </w:pPr>
          </w:p>
          <w:p w:rsidR="005D697D" w:rsidRPr="00F1612D" w:rsidRDefault="00E616B5" w:rsidP="00595527">
            <w:pPr>
              <w:rPr>
                <w:sz w:val="20"/>
              </w:rPr>
            </w:pPr>
            <w:r w:rsidRPr="00F1612D">
              <w:rPr>
                <w:sz w:val="20"/>
              </w:rPr>
              <w:t>Innerhalb einer Leistungsstufe sind die Teilleistungen grundsätzlich insgesamt (im Paket) zu vergeben. Nicht beauftragte Teilleistungen sind, soweit diese für eine mangelfreie Planung und Objektüberwachung erforderlich sind, vo</w:t>
            </w:r>
            <w:r w:rsidR="009B76DA" w:rsidRPr="00F1612D">
              <w:rPr>
                <w:sz w:val="20"/>
              </w:rPr>
              <w:t>m</w:t>
            </w:r>
            <w:r w:rsidRPr="00F1612D">
              <w:rPr>
                <w:sz w:val="20"/>
              </w:rPr>
              <w:t xml:space="preserve"> </w:t>
            </w:r>
            <w:r w:rsidR="009B76DA" w:rsidRPr="00F1612D">
              <w:rPr>
                <w:sz w:val="20"/>
              </w:rPr>
              <w:t>Auftraggeber</w:t>
            </w:r>
            <w:r w:rsidRPr="00F1612D">
              <w:rPr>
                <w:sz w:val="20"/>
              </w:rPr>
              <w:t xml:space="preserve"> zu erbringen. Eine Aufteilung der Teilleistungen auf mehrere Auftragnehmer in separaten Vert</w:t>
            </w:r>
            <w:r w:rsidR="005D697D" w:rsidRPr="00F1612D">
              <w:rPr>
                <w:sz w:val="20"/>
              </w:rPr>
              <w:t>rägen ist generell zu vermeiden.</w:t>
            </w:r>
            <w:r w:rsidRPr="00F1612D">
              <w:rPr>
                <w:sz w:val="20"/>
              </w:rPr>
              <w:t xml:space="preserve"> </w:t>
            </w:r>
          </w:p>
          <w:p w:rsidR="005D697D" w:rsidRPr="00F1612D" w:rsidRDefault="005D697D" w:rsidP="00F959E9">
            <w:pPr>
              <w:rPr>
                <w:sz w:val="20"/>
              </w:rPr>
            </w:pPr>
          </w:p>
        </w:tc>
      </w:tr>
      <w:tr w:rsidR="00E616B5" w:rsidRPr="00F1612D" w:rsidTr="005D697D">
        <w:trPr>
          <w:cantSplit/>
        </w:trPr>
        <w:tc>
          <w:tcPr>
            <w:tcW w:w="1172" w:type="dxa"/>
            <w:shd w:val="clear" w:color="auto" w:fill="auto"/>
          </w:tcPr>
          <w:p w:rsidR="00E616B5" w:rsidRPr="00F1612D" w:rsidRDefault="008D29EE" w:rsidP="00595527">
            <w:pPr>
              <w:rPr>
                <w:b/>
                <w:sz w:val="20"/>
              </w:rPr>
            </w:pPr>
            <w:r w:rsidRPr="00F1612D">
              <w:rPr>
                <w:b/>
                <w:sz w:val="20"/>
              </w:rPr>
              <w:t xml:space="preserve">Zu </w:t>
            </w:r>
            <w:r w:rsidR="00E616B5" w:rsidRPr="00F1612D">
              <w:rPr>
                <w:b/>
                <w:sz w:val="20"/>
              </w:rPr>
              <w:t>§ 5</w:t>
            </w:r>
          </w:p>
          <w:p w:rsidR="00E616B5" w:rsidRPr="00F1612D" w:rsidRDefault="00E616B5" w:rsidP="008D29EE">
            <w:pPr>
              <w:rPr>
                <w:b/>
                <w:sz w:val="20"/>
              </w:rPr>
            </w:pPr>
            <w:r w:rsidRPr="00F1612D">
              <w:rPr>
                <w:b/>
                <w:sz w:val="20"/>
              </w:rPr>
              <w:t>5.1</w:t>
            </w:r>
          </w:p>
        </w:tc>
        <w:tc>
          <w:tcPr>
            <w:tcW w:w="8505" w:type="dxa"/>
            <w:gridSpan w:val="2"/>
            <w:shd w:val="clear" w:color="auto" w:fill="auto"/>
          </w:tcPr>
          <w:p w:rsidR="00E616B5" w:rsidRPr="00F1612D" w:rsidRDefault="00E616B5" w:rsidP="00595527">
            <w:pPr>
              <w:rPr>
                <w:b/>
                <w:sz w:val="20"/>
              </w:rPr>
            </w:pPr>
            <w:r w:rsidRPr="00F1612D">
              <w:rPr>
                <w:b/>
                <w:sz w:val="20"/>
              </w:rPr>
              <w:t>Allgemeine Leistungspflichten</w:t>
            </w:r>
          </w:p>
          <w:p w:rsidR="00E616B5" w:rsidRPr="00F1612D" w:rsidRDefault="00E616B5" w:rsidP="00595527">
            <w:pPr>
              <w:rPr>
                <w:b/>
                <w:sz w:val="20"/>
              </w:rPr>
            </w:pPr>
            <w:r w:rsidRPr="00F1612D">
              <w:rPr>
                <w:b/>
                <w:sz w:val="20"/>
              </w:rPr>
              <w:t>Projektziele</w:t>
            </w:r>
          </w:p>
          <w:p w:rsidR="00E616B5" w:rsidRPr="00F1612D" w:rsidRDefault="00E616B5" w:rsidP="00595527">
            <w:pPr>
              <w:rPr>
                <w:sz w:val="20"/>
              </w:rPr>
            </w:pPr>
            <w:r w:rsidRPr="00F1612D">
              <w:rPr>
                <w:sz w:val="20"/>
              </w:rPr>
              <w:t xml:space="preserve">Nach dem Werkvertragsrecht ist eine Leistung grundsätzlich nur dann mangelfrei, wenn sie der vereinbarten Beschaffenheit der Leistung entspricht. Die Beschaffenheit der </w:t>
            </w:r>
            <w:r w:rsidR="008D29EE" w:rsidRPr="00F1612D">
              <w:rPr>
                <w:sz w:val="20"/>
              </w:rPr>
              <w:t>L</w:t>
            </w:r>
            <w:r w:rsidRPr="00F1612D">
              <w:rPr>
                <w:sz w:val="20"/>
              </w:rPr>
              <w:t>eistung ist in den §§ 5 und 6 sowie der/den Anlage</w:t>
            </w:r>
            <w:r w:rsidR="008D29EE" w:rsidRPr="00F1612D">
              <w:rPr>
                <w:sz w:val="20"/>
              </w:rPr>
              <w:t>/</w:t>
            </w:r>
            <w:r w:rsidRPr="00F1612D">
              <w:rPr>
                <w:sz w:val="20"/>
              </w:rPr>
              <w:t xml:space="preserve">n zu § 6 genau beschrieben. </w:t>
            </w:r>
          </w:p>
        </w:tc>
      </w:tr>
      <w:tr w:rsidR="008D29EE" w:rsidRPr="00F1612D" w:rsidTr="005D697D">
        <w:trPr>
          <w:cantSplit/>
        </w:trPr>
        <w:tc>
          <w:tcPr>
            <w:tcW w:w="1172" w:type="dxa"/>
            <w:shd w:val="clear" w:color="auto" w:fill="auto"/>
          </w:tcPr>
          <w:p w:rsidR="008D29EE" w:rsidRPr="00F1612D" w:rsidRDefault="008D29EE" w:rsidP="008D29EE">
            <w:pPr>
              <w:rPr>
                <w:b/>
                <w:sz w:val="20"/>
              </w:rPr>
            </w:pPr>
            <w:r w:rsidRPr="00F1612D">
              <w:rPr>
                <w:b/>
                <w:sz w:val="20"/>
              </w:rPr>
              <w:t>5.3</w:t>
            </w:r>
          </w:p>
          <w:p w:rsidR="008D29EE" w:rsidRPr="00F1612D" w:rsidRDefault="008D29EE" w:rsidP="00595527">
            <w:pPr>
              <w:rPr>
                <w:b/>
                <w:sz w:val="20"/>
              </w:rPr>
            </w:pPr>
          </w:p>
        </w:tc>
        <w:tc>
          <w:tcPr>
            <w:tcW w:w="8505" w:type="dxa"/>
            <w:gridSpan w:val="2"/>
            <w:shd w:val="clear" w:color="auto" w:fill="auto"/>
          </w:tcPr>
          <w:p w:rsidR="008D29EE" w:rsidRPr="00F1612D" w:rsidRDefault="008D29EE" w:rsidP="008D29EE">
            <w:pPr>
              <w:rPr>
                <w:b/>
                <w:sz w:val="20"/>
              </w:rPr>
            </w:pPr>
            <w:r w:rsidRPr="00F1612D">
              <w:rPr>
                <w:b/>
                <w:sz w:val="20"/>
              </w:rPr>
              <w:t>Kosten</w:t>
            </w:r>
          </w:p>
          <w:p w:rsidR="008D29EE" w:rsidRPr="00F1612D" w:rsidRDefault="008D29EE" w:rsidP="008D29EE">
            <w:pPr>
              <w:rPr>
                <w:sz w:val="20"/>
              </w:rPr>
            </w:pPr>
            <w:r w:rsidRPr="00F1612D">
              <w:rPr>
                <w:sz w:val="20"/>
              </w:rPr>
              <w:t xml:space="preserve">Die Einhaltung der Kostenobergrenze als werkvertragliche Erfolgsverpflichtung betrifft die Kostengruppen, auf die der Auftragnehmer unmittelbar Einfluss hat. Bei </w:t>
            </w:r>
            <w:r w:rsidR="00F959E9" w:rsidRPr="00F1612D">
              <w:rPr>
                <w:sz w:val="20"/>
              </w:rPr>
              <w:t>Objekt</w:t>
            </w:r>
            <w:r w:rsidRPr="00F1612D">
              <w:rPr>
                <w:sz w:val="20"/>
              </w:rPr>
              <w:t>planern betrifft dies auch alle Kostengruppen, für die nach dem Vertrag Koordinationsverpflichtungen übertragen werden (z.B. KG 400 Technische Anlagen). Die Verantwortung der fachlich Beteiligten bleibt davon allerdings unberührt.</w:t>
            </w:r>
          </w:p>
          <w:p w:rsidR="008D29EE" w:rsidRPr="00F1612D" w:rsidRDefault="008D29EE" w:rsidP="008D29EE">
            <w:pPr>
              <w:rPr>
                <w:sz w:val="20"/>
              </w:rPr>
            </w:pPr>
            <w:r w:rsidRPr="00F1612D">
              <w:rPr>
                <w:sz w:val="20"/>
              </w:rPr>
              <w:t>Es sind daher in § 5 Nummer 5.3 als Regelfall die Kosten der Kostengruppen 200 bis 600</w:t>
            </w:r>
            <w:r w:rsidR="00F959E9" w:rsidRPr="00F1612D">
              <w:rPr>
                <w:sz w:val="20"/>
              </w:rPr>
              <w:t xml:space="preserve"> nach DIN 276</w:t>
            </w:r>
            <w:r w:rsidRPr="00F1612D">
              <w:rPr>
                <w:sz w:val="20"/>
              </w:rPr>
              <w:t xml:space="preserve"> zugrunde gelegt.</w:t>
            </w:r>
          </w:p>
          <w:p w:rsidR="00956450" w:rsidRPr="00F1612D" w:rsidRDefault="00956450" w:rsidP="008D29EE">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5.4</w:t>
            </w:r>
          </w:p>
          <w:p w:rsidR="00E616B5" w:rsidRPr="00F1612D" w:rsidRDefault="00E616B5" w:rsidP="00595527">
            <w:pPr>
              <w:rPr>
                <w:b/>
                <w:sz w:val="20"/>
              </w:rPr>
            </w:pPr>
            <w:r w:rsidRPr="00F1612D">
              <w:rPr>
                <w:b/>
                <w:sz w:val="20"/>
              </w:rPr>
              <w:t>5.4.1</w:t>
            </w:r>
          </w:p>
        </w:tc>
        <w:tc>
          <w:tcPr>
            <w:tcW w:w="8505" w:type="dxa"/>
            <w:gridSpan w:val="2"/>
            <w:shd w:val="clear" w:color="auto" w:fill="auto"/>
          </w:tcPr>
          <w:p w:rsidR="00E616B5" w:rsidRPr="00F1612D" w:rsidRDefault="00E616B5" w:rsidP="00595527">
            <w:pPr>
              <w:rPr>
                <w:b/>
                <w:sz w:val="20"/>
              </w:rPr>
            </w:pPr>
            <w:r w:rsidRPr="00F1612D">
              <w:rPr>
                <w:b/>
                <w:sz w:val="20"/>
              </w:rPr>
              <w:t>Termine</w:t>
            </w:r>
          </w:p>
          <w:p w:rsidR="00E616B5" w:rsidRPr="00F1612D" w:rsidRDefault="00E616B5" w:rsidP="00595527">
            <w:pPr>
              <w:rPr>
                <w:sz w:val="20"/>
              </w:rPr>
            </w:pPr>
            <w:r w:rsidRPr="00F1612D">
              <w:rPr>
                <w:sz w:val="20"/>
              </w:rPr>
              <w:t>Bei einer Baumaßnahme mit mehreren Objekten sind die Termine objektweise anzugeben.</w:t>
            </w:r>
          </w:p>
          <w:p w:rsidR="008D29EE" w:rsidRPr="00F1612D" w:rsidRDefault="008D29EE"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5.4.2</w:t>
            </w:r>
          </w:p>
        </w:tc>
        <w:tc>
          <w:tcPr>
            <w:tcW w:w="8505" w:type="dxa"/>
            <w:gridSpan w:val="2"/>
            <w:shd w:val="clear" w:color="auto" w:fill="auto"/>
          </w:tcPr>
          <w:p w:rsidR="00E616B5" w:rsidRPr="00F1612D" w:rsidRDefault="00E616B5" w:rsidP="00595527">
            <w:pPr>
              <w:rPr>
                <w:sz w:val="20"/>
              </w:rPr>
            </w:pPr>
            <w:r w:rsidRPr="00F1612D">
              <w:rPr>
                <w:sz w:val="20"/>
              </w:rPr>
              <w:t xml:space="preserve">Die </w:t>
            </w:r>
            <w:r w:rsidR="0079514B" w:rsidRPr="00F1612D">
              <w:rPr>
                <w:sz w:val="20"/>
              </w:rPr>
              <w:t>Textauswahl ist</w:t>
            </w:r>
            <w:r w:rsidRPr="00F1612D">
              <w:rPr>
                <w:sz w:val="20"/>
              </w:rPr>
              <w:t xml:space="preserve"> in Abhängigkeit von der Projektorganisation nur alternativ zu </w:t>
            </w:r>
            <w:r w:rsidR="0079514B" w:rsidRPr="00F1612D">
              <w:rPr>
                <w:sz w:val="20"/>
              </w:rPr>
              <w:t>treff</w:t>
            </w:r>
            <w:r w:rsidRPr="00F1612D">
              <w:rPr>
                <w:sz w:val="20"/>
              </w:rPr>
              <w:t>en.</w:t>
            </w:r>
          </w:p>
          <w:p w:rsidR="008D29EE" w:rsidRPr="00F1612D" w:rsidRDefault="008D29EE"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5.4.3</w:t>
            </w:r>
          </w:p>
        </w:tc>
        <w:tc>
          <w:tcPr>
            <w:tcW w:w="8505" w:type="dxa"/>
            <w:gridSpan w:val="2"/>
            <w:shd w:val="clear" w:color="auto" w:fill="auto"/>
          </w:tcPr>
          <w:p w:rsidR="00E616B5" w:rsidRPr="00F1612D" w:rsidRDefault="00E616B5" w:rsidP="00595527">
            <w:pPr>
              <w:rPr>
                <w:i/>
                <w:sz w:val="20"/>
              </w:rPr>
            </w:pPr>
            <w:r w:rsidRPr="00F1612D">
              <w:rPr>
                <w:sz w:val="20"/>
              </w:rPr>
              <w:t>Die Angabe „</w:t>
            </w:r>
            <w:r w:rsidR="0079514B" w:rsidRPr="00F1612D">
              <w:rPr>
                <w:sz w:val="20"/>
              </w:rPr>
              <w:t xml:space="preserve">... </w:t>
            </w:r>
            <w:r w:rsidRPr="00F1612D">
              <w:rPr>
                <w:i/>
                <w:sz w:val="20"/>
              </w:rPr>
              <w:t>Wochen, ab</w:t>
            </w:r>
            <w:r w:rsidR="0079514B" w:rsidRPr="00F1612D">
              <w:rPr>
                <w:sz w:val="20"/>
              </w:rPr>
              <w:t xml:space="preserve"> ...</w:t>
            </w:r>
            <w:r w:rsidRPr="00F1612D">
              <w:rPr>
                <w:sz w:val="20"/>
              </w:rPr>
              <w:t xml:space="preserve">“ bezieht sich auf den Zeitpunkt, ab wann die Frist beginnt. Einzutragen ist z.B. </w:t>
            </w:r>
            <w:r w:rsidR="0079514B" w:rsidRPr="00F1612D">
              <w:rPr>
                <w:sz w:val="20"/>
              </w:rPr>
              <w:t>„</w:t>
            </w:r>
            <w:r w:rsidRPr="00F1612D">
              <w:rPr>
                <w:i/>
                <w:sz w:val="20"/>
              </w:rPr>
              <w:t>haushaltsmäßige Anerkennung</w:t>
            </w:r>
            <w:r w:rsidR="0079514B" w:rsidRPr="00F1612D">
              <w:rPr>
                <w:sz w:val="20"/>
              </w:rPr>
              <w:t>“</w:t>
            </w:r>
            <w:r w:rsidRPr="00F1612D">
              <w:rPr>
                <w:sz w:val="20"/>
              </w:rPr>
              <w:t xml:space="preserve"> oder </w:t>
            </w:r>
            <w:r w:rsidR="0079514B" w:rsidRPr="00F1612D">
              <w:rPr>
                <w:sz w:val="20"/>
              </w:rPr>
              <w:t>„</w:t>
            </w:r>
            <w:r w:rsidRPr="00F1612D">
              <w:rPr>
                <w:i/>
                <w:sz w:val="20"/>
              </w:rPr>
              <w:t>Verfügbarkeit der Haushaltsmittel</w:t>
            </w:r>
            <w:r w:rsidR="0079514B" w:rsidRPr="00F1612D">
              <w:rPr>
                <w:i/>
                <w:sz w:val="20"/>
              </w:rPr>
              <w:t>“</w:t>
            </w:r>
          </w:p>
          <w:p w:rsidR="008D29EE" w:rsidRPr="00F1612D" w:rsidRDefault="008D29EE"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5.5</w:t>
            </w:r>
          </w:p>
          <w:p w:rsidR="00E616B5" w:rsidRPr="00F1612D" w:rsidRDefault="00E616B5" w:rsidP="00757788">
            <w:pPr>
              <w:rPr>
                <w:b/>
                <w:sz w:val="20"/>
              </w:rPr>
            </w:pPr>
            <w:r w:rsidRPr="00F1612D">
              <w:rPr>
                <w:b/>
                <w:sz w:val="20"/>
              </w:rPr>
              <w:t>5.5.2</w:t>
            </w:r>
          </w:p>
        </w:tc>
        <w:tc>
          <w:tcPr>
            <w:tcW w:w="8505" w:type="dxa"/>
            <w:gridSpan w:val="2"/>
            <w:shd w:val="clear" w:color="auto" w:fill="auto"/>
          </w:tcPr>
          <w:p w:rsidR="00E616B5" w:rsidRPr="00F1612D" w:rsidRDefault="00E616B5" w:rsidP="00595527">
            <w:pPr>
              <w:rPr>
                <w:b/>
                <w:sz w:val="20"/>
              </w:rPr>
            </w:pPr>
            <w:r w:rsidRPr="00F1612D">
              <w:rPr>
                <w:b/>
                <w:sz w:val="20"/>
              </w:rPr>
              <w:t>Erreichen der Projektziele</w:t>
            </w:r>
          </w:p>
          <w:p w:rsidR="00E616B5" w:rsidRPr="00F1612D" w:rsidRDefault="00E616B5" w:rsidP="00595527">
            <w:pPr>
              <w:rPr>
                <w:sz w:val="20"/>
              </w:rPr>
            </w:pPr>
            <w:r w:rsidRPr="00F1612D">
              <w:rPr>
                <w:sz w:val="20"/>
              </w:rPr>
              <w:t>Wird erkennbar, dass die vereinbarten Ziele nicht eingehalten werden können und haben Auftragnehmer die aus ihrer Sicht möglichen Varianten aufgezeigt, können sie nicht ohne Vergütungsfolgen zur Entwicklung weiterer Varianten veranlasst werden.</w:t>
            </w:r>
          </w:p>
          <w:p w:rsidR="008D29EE" w:rsidRPr="00F1612D" w:rsidRDefault="008D29EE"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5.8</w:t>
            </w:r>
          </w:p>
          <w:p w:rsidR="00E616B5" w:rsidRPr="00F1612D" w:rsidRDefault="00E616B5" w:rsidP="00595527">
            <w:pPr>
              <w:rPr>
                <w:b/>
                <w:sz w:val="20"/>
              </w:rPr>
            </w:pPr>
            <w:r w:rsidRPr="00F1612D">
              <w:rPr>
                <w:b/>
                <w:sz w:val="20"/>
              </w:rPr>
              <w:t>5.8.2</w:t>
            </w:r>
          </w:p>
        </w:tc>
        <w:tc>
          <w:tcPr>
            <w:tcW w:w="8505" w:type="dxa"/>
            <w:gridSpan w:val="2"/>
            <w:shd w:val="clear" w:color="auto" w:fill="auto"/>
          </w:tcPr>
          <w:p w:rsidR="00E616B5" w:rsidRPr="00F1612D" w:rsidRDefault="00E616B5" w:rsidP="00595527">
            <w:pPr>
              <w:rPr>
                <w:b/>
                <w:sz w:val="20"/>
              </w:rPr>
            </w:pPr>
            <w:r w:rsidRPr="00F1612D">
              <w:rPr>
                <w:b/>
                <w:sz w:val="20"/>
              </w:rPr>
              <w:t>Behandlung von Unterlagen</w:t>
            </w:r>
          </w:p>
          <w:p w:rsidR="008D29EE" w:rsidRPr="00F1612D" w:rsidRDefault="0079514B" w:rsidP="0079514B">
            <w:pPr>
              <w:rPr>
                <w:rFonts w:cs="Arial"/>
                <w:sz w:val="20"/>
              </w:rPr>
            </w:pPr>
            <w:r w:rsidRPr="00F1612D">
              <w:rPr>
                <w:rFonts w:cs="Arial"/>
                <w:sz w:val="20"/>
              </w:rPr>
              <w:t>Die im Einzelfall erforderliche  Anzahl an Ausfertigungen ist an dieser Stelle zu vereinbaren.</w:t>
            </w:r>
          </w:p>
          <w:p w:rsidR="0079514B" w:rsidRPr="00F1612D" w:rsidRDefault="0079514B" w:rsidP="0079514B">
            <w:pPr>
              <w:rPr>
                <w:sz w:val="20"/>
              </w:rPr>
            </w:pPr>
          </w:p>
        </w:tc>
      </w:tr>
      <w:tr w:rsidR="00A03B1C" w:rsidRPr="00F1612D" w:rsidTr="005D697D">
        <w:trPr>
          <w:cantSplit/>
        </w:trPr>
        <w:tc>
          <w:tcPr>
            <w:tcW w:w="1172" w:type="dxa"/>
            <w:shd w:val="clear" w:color="auto" w:fill="auto"/>
          </w:tcPr>
          <w:p w:rsidR="00A03B1C" w:rsidRPr="00F1612D" w:rsidRDefault="00A03B1C" w:rsidP="00A03B1C">
            <w:pPr>
              <w:rPr>
                <w:b/>
                <w:sz w:val="20"/>
              </w:rPr>
            </w:pPr>
            <w:r w:rsidRPr="00F1612D">
              <w:rPr>
                <w:b/>
                <w:sz w:val="20"/>
              </w:rPr>
              <w:t>Zu § 6</w:t>
            </w:r>
          </w:p>
          <w:p w:rsidR="00A03B1C" w:rsidRPr="00F1612D" w:rsidRDefault="00A03B1C" w:rsidP="00595527">
            <w:pPr>
              <w:rPr>
                <w:b/>
                <w:sz w:val="20"/>
              </w:rPr>
            </w:pPr>
          </w:p>
        </w:tc>
        <w:tc>
          <w:tcPr>
            <w:tcW w:w="8505" w:type="dxa"/>
            <w:gridSpan w:val="2"/>
            <w:shd w:val="clear" w:color="auto" w:fill="auto"/>
          </w:tcPr>
          <w:p w:rsidR="00A03B1C" w:rsidRPr="00F1612D" w:rsidRDefault="00A03B1C" w:rsidP="00A03B1C">
            <w:pPr>
              <w:rPr>
                <w:b/>
                <w:sz w:val="20"/>
              </w:rPr>
            </w:pPr>
            <w:r w:rsidRPr="00F1612D">
              <w:rPr>
                <w:b/>
                <w:sz w:val="20"/>
              </w:rPr>
              <w:t>Spezifische Leistungspflichten</w:t>
            </w:r>
          </w:p>
          <w:p w:rsidR="00A03B1C" w:rsidRPr="00F1612D" w:rsidRDefault="00A03B1C" w:rsidP="0014398C">
            <w:pPr>
              <w:rPr>
                <w:b/>
                <w:sz w:val="20"/>
              </w:rPr>
            </w:pPr>
          </w:p>
        </w:tc>
      </w:tr>
      <w:tr w:rsidR="00A03B1C" w:rsidRPr="00F1612D" w:rsidTr="005D697D">
        <w:trPr>
          <w:cantSplit/>
        </w:trPr>
        <w:tc>
          <w:tcPr>
            <w:tcW w:w="1172" w:type="dxa"/>
            <w:shd w:val="clear" w:color="auto" w:fill="auto"/>
          </w:tcPr>
          <w:p w:rsidR="00A03B1C" w:rsidRPr="00F1612D" w:rsidRDefault="00A03B1C" w:rsidP="00595527">
            <w:pPr>
              <w:rPr>
                <w:b/>
                <w:sz w:val="20"/>
              </w:rPr>
            </w:pPr>
          </w:p>
        </w:tc>
        <w:tc>
          <w:tcPr>
            <w:tcW w:w="8505" w:type="dxa"/>
            <w:gridSpan w:val="2"/>
            <w:shd w:val="clear" w:color="auto" w:fill="auto"/>
          </w:tcPr>
          <w:p w:rsidR="00A03B1C" w:rsidRPr="00F1612D" w:rsidRDefault="00A03B1C" w:rsidP="00A03B1C">
            <w:pPr>
              <w:rPr>
                <w:rFonts w:cs="Arial"/>
                <w:b/>
                <w:sz w:val="20"/>
              </w:rPr>
            </w:pPr>
            <w:r w:rsidRPr="00F1612D">
              <w:rPr>
                <w:rFonts w:cs="Arial"/>
                <w:b/>
                <w:sz w:val="20"/>
              </w:rPr>
              <w:t xml:space="preserve">Festlegung des Leistungsumfanges im </w:t>
            </w:r>
            <w:r w:rsidR="00F1612D" w:rsidRPr="00F1612D">
              <w:rPr>
                <w:rFonts w:cs="Arial"/>
                <w:b/>
                <w:sz w:val="20"/>
              </w:rPr>
              <w:t>Einzelnen</w:t>
            </w:r>
          </w:p>
          <w:p w:rsidR="00A03B1C" w:rsidRPr="00F1612D" w:rsidRDefault="00A03B1C" w:rsidP="00A03B1C">
            <w:pPr>
              <w:rPr>
                <w:rFonts w:cs="Arial"/>
                <w:sz w:val="20"/>
              </w:rPr>
            </w:pPr>
            <w:r w:rsidRPr="00F1612D">
              <w:rPr>
                <w:rFonts w:cs="Arial"/>
                <w:sz w:val="20"/>
              </w:rPr>
              <w:t>Die einzelnen Leistungsstufen des § 6 beziehen sich auf den Grundleistungskatalog der Anlage VII.</w:t>
            </w:r>
            <w:r w:rsidR="00B935B7" w:rsidRPr="00F1612D">
              <w:rPr>
                <w:rFonts w:cs="Arial"/>
                <w:sz w:val="20"/>
              </w:rPr>
              <w:t>11</w:t>
            </w:r>
            <w:r w:rsidRPr="00F1612D">
              <w:rPr>
                <w:rFonts w:cs="Arial"/>
                <w:sz w:val="20"/>
              </w:rPr>
              <w:t>.2</w:t>
            </w:r>
            <w:r w:rsidR="00B935B7" w:rsidRPr="00F1612D">
              <w:rPr>
                <w:rFonts w:cs="Arial"/>
                <w:sz w:val="20"/>
              </w:rPr>
              <w:t>.Wa</w:t>
            </w:r>
            <w:r w:rsidRPr="00F1612D">
              <w:rPr>
                <w:rFonts w:cs="Arial"/>
                <w:sz w:val="20"/>
              </w:rPr>
              <w:t xml:space="preserve"> hierzu. Zu beauftragende Grundleistungen der jeweiligen Leistungsphase nach Anlage 1</w:t>
            </w:r>
            <w:r w:rsidR="00D25AB5" w:rsidRPr="00F1612D">
              <w:rPr>
                <w:rFonts w:cs="Arial"/>
                <w:sz w:val="20"/>
              </w:rPr>
              <w:t>5</w:t>
            </w:r>
            <w:r w:rsidRPr="00F1612D">
              <w:rPr>
                <w:rFonts w:cs="Arial"/>
                <w:sz w:val="20"/>
              </w:rPr>
              <w:t xml:space="preserve"> Nr. 1</w:t>
            </w:r>
            <w:r w:rsidR="00D25AB5" w:rsidRPr="00F1612D">
              <w:rPr>
                <w:rFonts w:cs="Arial"/>
                <w:sz w:val="20"/>
              </w:rPr>
              <w:t>5</w:t>
            </w:r>
            <w:r w:rsidRPr="00F1612D">
              <w:rPr>
                <w:rFonts w:cs="Arial"/>
                <w:sz w:val="20"/>
              </w:rPr>
              <w:t>.1 HOAI werden dort angekreuzt.</w:t>
            </w:r>
          </w:p>
          <w:p w:rsidR="00A03B1C" w:rsidRPr="00F1612D" w:rsidRDefault="00A03B1C" w:rsidP="00A03B1C">
            <w:pPr>
              <w:rPr>
                <w:rFonts w:cs="Arial"/>
                <w:sz w:val="20"/>
              </w:rPr>
            </w:pPr>
            <w:r w:rsidRPr="00F1612D">
              <w:rPr>
                <w:rFonts w:cs="Arial"/>
                <w:sz w:val="20"/>
              </w:rPr>
              <w:t>Sofern dem Auftraggeber das Erbringen von wesentlichen Teilen der Grundleistungen bzw. ganzen Grundleistungen selbst obliegt, ist dies in den Leistungsstufen des § 6 analog § 6 Nr. 6.1.1 und § 6 Nr. 6.3.2 festzulegen.</w:t>
            </w:r>
          </w:p>
          <w:p w:rsidR="00A03B1C" w:rsidRPr="00F1612D" w:rsidRDefault="00A03B1C" w:rsidP="00A03B1C">
            <w:pPr>
              <w:rPr>
                <w:rFonts w:cs="Arial"/>
                <w:sz w:val="20"/>
              </w:rPr>
            </w:pPr>
            <w:r w:rsidRPr="00F1612D">
              <w:rPr>
                <w:rFonts w:cs="Arial"/>
                <w:sz w:val="20"/>
              </w:rPr>
              <w:t>Hierfür ist in Nrn. 6.2.1, 6.4.1, 6.5.1 (6.1.1 und 6.3.2 sind lediglich zu ergänzen) folgender Textblock einzufügen:</w:t>
            </w:r>
          </w:p>
          <w:p w:rsidR="00A03B1C" w:rsidRPr="00F1612D" w:rsidRDefault="00A03B1C" w:rsidP="00A03B1C">
            <w:pPr>
              <w:rPr>
                <w:rFonts w:cs="Arial"/>
                <w:sz w:val="20"/>
              </w:rPr>
            </w:pPr>
          </w:p>
          <w:p w:rsidR="00A03B1C" w:rsidRPr="00F1612D" w:rsidRDefault="00A03B1C" w:rsidP="00A03B1C">
            <w:pPr>
              <w:rPr>
                <w:rFonts w:cs="Arial"/>
                <w:i/>
                <w:sz w:val="20"/>
              </w:rPr>
            </w:pPr>
            <w:r w:rsidRPr="00F1612D">
              <w:rPr>
                <w:rFonts w:cs="Arial"/>
                <w:i/>
                <w:sz w:val="20"/>
              </w:rPr>
              <w:t xml:space="preserve">Dem Auftraggeber obliegen im Rahmen des/der  </w:t>
            </w:r>
            <w:r w:rsidRPr="00F1612D">
              <w:rPr>
                <w:rFonts w:cs="Arial"/>
                <w:i/>
                <w:sz w:val="20"/>
              </w:rPr>
              <w:fldChar w:fldCharType="begin">
                <w:ffData>
                  <w:name w:val="Text213"/>
                  <w:enabled/>
                  <w:calcOnExit w:val="0"/>
                  <w:textInput/>
                </w:ffData>
              </w:fldChar>
            </w:r>
            <w:bookmarkStart w:id="1" w:name="Text213"/>
            <w:r w:rsidRPr="00F1612D">
              <w:rPr>
                <w:rFonts w:cs="Arial"/>
                <w:i/>
                <w:sz w:val="20"/>
              </w:rPr>
              <w:instrText xml:space="preserve"> FORMTEXT </w:instrText>
            </w:r>
            <w:r w:rsidRPr="00F1612D">
              <w:rPr>
                <w:rFonts w:cs="Arial"/>
                <w:i/>
                <w:sz w:val="20"/>
              </w:rPr>
            </w:r>
            <w:r w:rsidRPr="00F1612D">
              <w:rPr>
                <w:rFonts w:cs="Arial"/>
                <w:i/>
                <w:sz w:val="20"/>
              </w:rPr>
              <w:fldChar w:fldCharType="separate"/>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sz w:val="20"/>
              </w:rPr>
              <w:fldChar w:fldCharType="end"/>
            </w:r>
            <w:bookmarkEnd w:id="1"/>
            <w:r w:rsidRPr="00F1612D">
              <w:rPr>
                <w:rFonts w:cs="Arial"/>
                <w:i/>
                <w:sz w:val="20"/>
              </w:rPr>
              <w:t xml:space="preserve"> folgende Leistungen:</w:t>
            </w:r>
          </w:p>
          <w:p w:rsidR="00A03B1C" w:rsidRPr="00F1612D" w:rsidRDefault="00A03B1C" w:rsidP="00A03B1C">
            <w:pPr>
              <w:rPr>
                <w:rFonts w:cs="Arial"/>
                <w:sz w:val="20"/>
              </w:rPr>
            </w:pPr>
            <w:r w:rsidRPr="00F1612D">
              <w:rPr>
                <w:rFonts w:cs="Arial"/>
                <w:i/>
                <w:sz w:val="20"/>
              </w:rPr>
              <w:t xml:space="preserve">- </w:t>
            </w:r>
            <w:r w:rsidRPr="00F1612D">
              <w:rPr>
                <w:rFonts w:cs="Arial"/>
                <w:i/>
                <w:sz w:val="20"/>
              </w:rPr>
              <w:fldChar w:fldCharType="begin">
                <w:ffData>
                  <w:name w:val="Text73"/>
                  <w:enabled/>
                  <w:calcOnExit w:val="0"/>
                  <w:textInput/>
                </w:ffData>
              </w:fldChar>
            </w:r>
            <w:r w:rsidRPr="00F1612D">
              <w:rPr>
                <w:rFonts w:cs="Arial"/>
                <w:i/>
                <w:sz w:val="20"/>
              </w:rPr>
              <w:instrText xml:space="preserve"> FORMTEXT </w:instrText>
            </w:r>
            <w:r w:rsidRPr="00F1612D">
              <w:rPr>
                <w:rFonts w:cs="Arial"/>
                <w:i/>
                <w:sz w:val="20"/>
              </w:rPr>
            </w:r>
            <w:r w:rsidRPr="00F1612D">
              <w:rPr>
                <w:rFonts w:cs="Arial"/>
                <w:i/>
                <w:sz w:val="20"/>
              </w:rPr>
              <w:fldChar w:fldCharType="separate"/>
            </w:r>
            <w:r w:rsidRPr="00F1612D">
              <w:rPr>
                <w:rFonts w:cs="Arial"/>
                <w:i/>
                <w:sz w:val="20"/>
              </w:rPr>
              <w:t> </w:t>
            </w:r>
            <w:r w:rsidRPr="00F1612D">
              <w:rPr>
                <w:rFonts w:cs="Arial"/>
                <w:i/>
                <w:sz w:val="20"/>
              </w:rPr>
              <w:t> </w:t>
            </w:r>
            <w:r w:rsidRPr="00F1612D">
              <w:rPr>
                <w:rFonts w:cs="Arial"/>
                <w:i/>
                <w:sz w:val="20"/>
              </w:rPr>
              <w:t> </w:t>
            </w:r>
            <w:r w:rsidRPr="00F1612D">
              <w:rPr>
                <w:rFonts w:cs="Arial"/>
                <w:i/>
                <w:sz w:val="20"/>
              </w:rPr>
              <w:t> </w:t>
            </w:r>
            <w:r w:rsidRPr="00F1612D">
              <w:rPr>
                <w:rFonts w:cs="Arial"/>
                <w:i/>
                <w:sz w:val="20"/>
              </w:rPr>
              <w:t> </w:t>
            </w:r>
            <w:r w:rsidRPr="00F1612D">
              <w:rPr>
                <w:rFonts w:cs="Arial"/>
                <w:i/>
                <w:sz w:val="20"/>
              </w:rPr>
              <w:fldChar w:fldCharType="end"/>
            </w:r>
          </w:p>
          <w:p w:rsidR="00A03B1C" w:rsidRPr="00F1612D" w:rsidRDefault="00A03B1C" w:rsidP="00A03B1C">
            <w:pPr>
              <w:rPr>
                <w:rFonts w:cs="Arial"/>
                <w:sz w:val="20"/>
              </w:rPr>
            </w:pPr>
          </w:p>
          <w:p w:rsidR="00A03B1C" w:rsidRPr="00F1612D" w:rsidRDefault="00A03B1C" w:rsidP="00A03B1C">
            <w:pPr>
              <w:rPr>
                <w:rFonts w:cs="Arial"/>
                <w:sz w:val="20"/>
              </w:rPr>
            </w:pPr>
            <w:r w:rsidRPr="00F1612D">
              <w:rPr>
                <w:rFonts w:cs="Arial"/>
                <w:sz w:val="20"/>
              </w:rPr>
              <w:t>Zu den Abschlägen bei der Bewertung der verbleibenden Teilgrundleistungen siehe unten zu § 10 Nr. 10.4 bzw. Nr. 2 (Richtlinie zu Anlage VII.10.2).</w:t>
            </w:r>
          </w:p>
          <w:p w:rsidR="00A03B1C" w:rsidRPr="00F1612D" w:rsidRDefault="00A03B1C" w:rsidP="00595527">
            <w:pPr>
              <w:rPr>
                <w:b/>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6.</w:t>
            </w:r>
            <w:r w:rsidR="00295C38" w:rsidRPr="00F1612D">
              <w:rPr>
                <w:b/>
                <w:sz w:val="20"/>
              </w:rPr>
              <w:t>2</w:t>
            </w:r>
          </w:p>
          <w:p w:rsidR="00E616B5" w:rsidRPr="00F1612D" w:rsidRDefault="00E616B5" w:rsidP="00295C38">
            <w:pPr>
              <w:rPr>
                <w:b/>
                <w:sz w:val="20"/>
              </w:rPr>
            </w:pPr>
            <w:r w:rsidRPr="00F1612D">
              <w:rPr>
                <w:b/>
                <w:sz w:val="20"/>
              </w:rPr>
              <w:t>6.</w:t>
            </w:r>
            <w:r w:rsidR="00295C38" w:rsidRPr="00F1612D">
              <w:rPr>
                <w:b/>
                <w:sz w:val="20"/>
              </w:rPr>
              <w:t>2</w:t>
            </w:r>
            <w:r w:rsidRPr="00F1612D">
              <w:rPr>
                <w:b/>
                <w:sz w:val="20"/>
              </w:rPr>
              <w:t>.1</w:t>
            </w:r>
          </w:p>
        </w:tc>
        <w:tc>
          <w:tcPr>
            <w:tcW w:w="8505" w:type="dxa"/>
            <w:gridSpan w:val="2"/>
            <w:shd w:val="clear" w:color="auto" w:fill="auto"/>
          </w:tcPr>
          <w:p w:rsidR="00E616B5" w:rsidRPr="00F1612D" w:rsidRDefault="00E616B5" w:rsidP="00595527">
            <w:pPr>
              <w:rPr>
                <w:b/>
                <w:sz w:val="20"/>
              </w:rPr>
            </w:pPr>
            <w:r w:rsidRPr="00F1612D">
              <w:rPr>
                <w:b/>
                <w:sz w:val="20"/>
              </w:rPr>
              <w:t xml:space="preserve">Leistungsstufe </w:t>
            </w:r>
            <w:r w:rsidR="00D25AB5" w:rsidRPr="00F1612D">
              <w:rPr>
                <w:b/>
                <w:sz w:val="20"/>
              </w:rPr>
              <w:t>2</w:t>
            </w:r>
            <w:r w:rsidRPr="00F1612D">
              <w:rPr>
                <w:b/>
                <w:sz w:val="20"/>
              </w:rPr>
              <w:t xml:space="preserve"> </w:t>
            </w:r>
          </w:p>
          <w:p w:rsidR="000B248E" w:rsidRPr="00F1612D" w:rsidRDefault="00E616B5" w:rsidP="00595527">
            <w:pPr>
              <w:rPr>
                <w:rFonts w:cs="Arial"/>
                <w:sz w:val="20"/>
              </w:rPr>
            </w:pPr>
            <w:r w:rsidRPr="00F1612D">
              <w:rPr>
                <w:sz w:val="20"/>
              </w:rPr>
              <w:t>Die Genehmigungsplanung ist nur für solche Anlagen zu übertragen, für die nach öffentlich-rechtlichen Vorschriften eine unmittelbare Genehmigung erforderlich ist (z.B. Entwässerungs</w:t>
            </w:r>
            <w:r w:rsidR="00B935B7" w:rsidRPr="00F1612D">
              <w:rPr>
                <w:sz w:val="20"/>
              </w:rPr>
              <w:softHyphen/>
            </w:r>
            <w:r w:rsidRPr="00F1612D">
              <w:rPr>
                <w:sz w:val="20"/>
              </w:rPr>
              <w:t xml:space="preserve">gesuch, Wasserrechtsverfahren). Das Einreichen der Genehmigungsunterlagen bei den zuständigen Behörden und die Federführung bei Verhandlungen mit diesen obliegen dem Auftraggeber. </w:t>
            </w:r>
            <w:r w:rsidR="000B248E" w:rsidRPr="00F1612D">
              <w:rPr>
                <w:rFonts w:cs="Arial"/>
                <w:sz w:val="20"/>
              </w:rPr>
              <w:t xml:space="preserve">Diese Grundleistungsanteile sind daher in § 6 Nr. 6.1.1 vorgegeben. In der Anlage zu § 6 ist diese Grundleistung deshalb auf ein Mitwirken beschränkt; der Abzug vom v.H.-Satz ist unten in Nr. 2 ausgewiesen. </w:t>
            </w:r>
          </w:p>
          <w:p w:rsidR="000B248E" w:rsidRPr="00F1612D" w:rsidRDefault="000B248E" w:rsidP="00595527">
            <w:pPr>
              <w:rPr>
                <w:rFonts w:cs="Arial"/>
                <w:sz w:val="20"/>
              </w:rPr>
            </w:pPr>
          </w:p>
          <w:p w:rsidR="00E616B5" w:rsidRPr="00F1612D" w:rsidRDefault="00E616B5" w:rsidP="00595527">
            <w:pPr>
              <w:rPr>
                <w:sz w:val="20"/>
              </w:rPr>
            </w:pPr>
            <w:r w:rsidRPr="00F1612D">
              <w:rPr>
                <w:sz w:val="20"/>
              </w:rPr>
              <w:t xml:space="preserve">Da sich die Leistungen des Auftraggebers </w:t>
            </w:r>
            <w:r w:rsidR="00B96B79" w:rsidRPr="00F1612D">
              <w:rPr>
                <w:sz w:val="20"/>
              </w:rPr>
              <w:t xml:space="preserve">in Leistungsphase 4 </w:t>
            </w:r>
            <w:r w:rsidRPr="00F1612D">
              <w:rPr>
                <w:sz w:val="20"/>
              </w:rPr>
              <w:t xml:space="preserve">auf das formale Einreichen der Unterlagen beschränken und die Leistungen inhaltlich vollständig durch den Auftragnehmer erbracht werden, bleibt die Bewertung der Leistungsphase 4 unverändert. </w:t>
            </w:r>
          </w:p>
          <w:p w:rsidR="00E616B5" w:rsidRPr="00F1612D" w:rsidRDefault="00E616B5" w:rsidP="00595527">
            <w:pPr>
              <w:rPr>
                <w:sz w:val="20"/>
              </w:rPr>
            </w:pPr>
            <w:r w:rsidRPr="00F1612D">
              <w:rPr>
                <w:sz w:val="20"/>
              </w:rPr>
              <w:t>Die in § 6 Nr</w:t>
            </w:r>
            <w:r w:rsidR="00B96B79" w:rsidRPr="00F1612D">
              <w:rPr>
                <w:sz w:val="20"/>
              </w:rPr>
              <w:t>.</w:t>
            </w:r>
            <w:r w:rsidRPr="00F1612D">
              <w:rPr>
                <w:sz w:val="20"/>
              </w:rPr>
              <w:t xml:space="preserve"> 6.1.1 angesprochenen Pläne/Unterlagen sind insbesondere: Übersichtsplan, Katasterkarte, Lageplan, Baupläne.</w:t>
            </w:r>
          </w:p>
          <w:p w:rsidR="000B248E" w:rsidRPr="00F1612D" w:rsidRDefault="000B248E" w:rsidP="006870DC">
            <w:pPr>
              <w:rPr>
                <w:sz w:val="20"/>
              </w:rPr>
            </w:pPr>
          </w:p>
        </w:tc>
      </w:tr>
      <w:tr w:rsidR="00E616B5" w:rsidRPr="00F1612D" w:rsidTr="005D697D">
        <w:trPr>
          <w:cantSplit/>
        </w:trPr>
        <w:tc>
          <w:tcPr>
            <w:tcW w:w="1172" w:type="dxa"/>
            <w:shd w:val="clear" w:color="auto" w:fill="auto"/>
          </w:tcPr>
          <w:p w:rsidR="00E616B5" w:rsidRPr="00F1612D" w:rsidRDefault="00E616B5" w:rsidP="00295C38">
            <w:pPr>
              <w:rPr>
                <w:b/>
                <w:sz w:val="20"/>
              </w:rPr>
            </w:pPr>
            <w:r w:rsidRPr="00F1612D">
              <w:rPr>
                <w:b/>
                <w:sz w:val="20"/>
              </w:rPr>
              <w:t>6.</w:t>
            </w:r>
            <w:r w:rsidR="00295C38" w:rsidRPr="00F1612D">
              <w:rPr>
                <w:b/>
                <w:sz w:val="20"/>
              </w:rPr>
              <w:t>2</w:t>
            </w:r>
            <w:r w:rsidRPr="00F1612D">
              <w:rPr>
                <w:b/>
                <w:sz w:val="20"/>
              </w:rPr>
              <w:t>.2</w:t>
            </w:r>
          </w:p>
        </w:tc>
        <w:tc>
          <w:tcPr>
            <w:tcW w:w="8505" w:type="dxa"/>
            <w:gridSpan w:val="2"/>
            <w:shd w:val="clear" w:color="auto" w:fill="auto"/>
          </w:tcPr>
          <w:p w:rsidR="00E616B5" w:rsidRPr="00F1612D" w:rsidRDefault="00E616B5" w:rsidP="00595527">
            <w:pPr>
              <w:rPr>
                <w:sz w:val="20"/>
              </w:rPr>
            </w:pPr>
            <w:r w:rsidRPr="00F1612D">
              <w:rPr>
                <w:sz w:val="20"/>
              </w:rPr>
              <w:t xml:space="preserve">Die Übergabe der Unterlagen ist erst dann zu bestätigen, wenn die Unterlagen vollständig vorliegen und </w:t>
            </w:r>
            <w:r w:rsidR="00B718DA" w:rsidRPr="00F1612D">
              <w:rPr>
                <w:sz w:val="20"/>
              </w:rPr>
              <w:t xml:space="preserve">ggf. </w:t>
            </w:r>
            <w:r w:rsidRPr="00F1612D">
              <w:rPr>
                <w:sz w:val="20"/>
              </w:rPr>
              <w:t>der Nutzer sein Einverständnis gegeben hat.</w:t>
            </w:r>
          </w:p>
          <w:p w:rsidR="00B96B79" w:rsidRPr="00F1612D" w:rsidRDefault="00B96B79"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6.</w:t>
            </w:r>
            <w:r w:rsidR="00295C38" w:rsidRPr="00F1612D">
              <w:rPr>
                <w:b/>
                <w:sz w:val="20"/>
              </w:rPr>
              <w:t>4</w:t>
            </w:r>
          </w:p>
          <w:p w:rsidR="00E616B5" w:rsidRPr="00F1612D" w:rsidRDefault="00E616B5" w:rsidP="00757788">
            <w:pPr>
              <w:rPr>
                <w:b/>
                <w:sz w:val="20"/>
              </w:rPr>
            </w:pPr>
          </w:p>
        </w:tc>
        <w:tc>
          <w:tcPr>
            <w:tcW w:w="8505" w:type="dxa"/>
            <w:gridSpan w:val="2"/>
            <w:shd w:val="clear" w:color="auto" w:fill="auto"/>
          </w:tcPr>
          <w:p w:rsidR="00E616B5" w:rsidRPr="00F1612D" w:rsidRDefault="00E616B5" w:rsidP="00595527">
            <w:pPr>
              <w:rPr>
                <w:b/>
                <w:sz w:val="20"/>
              </w:rPr>
            </w:pPr>
            <w:r w:rsidRPr="00F1612D">
              <w:rPr>
                <w:b/>
                <w:sz w:val="20"/>
              </w:rPr>
              <w:t xml:space="preserve">Leistungsstufe </w:t>
            </w:r>
            <w:r w:rsidR="00D25AB5" w:rsidRPr="00F1612D">
              <w:rPr>
                <w:b/>
                <w:sz w:val="20"/>
              </w:rPr>
              <w:t>4</w:t>
            </w:r>
          </w:p>
          <w:p w:rsidR="00E616B5" w:rsidRPr="00F1612D" w:rsidRDefault="00E616B5" w:rsidP="00595527">
            <w:pPr>
              <w:rPr>
                <w:sz w:val="20"/>
              </w:rPr>
            </w:pPr>
            <w:r w:rsidRPr="00F1612D">
              <w:rPr>
                <w:sz w:val="20"/>
              </w:rPr>
              <w:t>„Durchsicht“ heißt formale Prüfung der Angebote. Sie umfasst die Prüfung der Vollständigkeit der geforderten Angaben und Erklärungen im Angebot und der weiteren Erklärungen und Unterlagen zum Angebot, Änderungen, Unterschrift usw. (siehe Nr. 1.1 der Richtlinie zu 321 VHB).</w:t>
            </w:r>
          </w:p>
          <w:p w:rsidR="00E616B5" w:rsidRPr="00F1612D" w:rsidRDefault="00E616B5" w:rsidP="00595527">
            <w:pPr>
              <w:rPr>
                <w:sz w:val="20"/>
              </w:rPr>
            </w:pPr>
            <w:r w:rsidRPr="00F1612D">
              <w:rPr>
                <w:sz w:val="20"/>
              </w:rPr>
              <w:t xml:space="preserve">Das Nachrechnen der Angebote ersetzt nicht die rechnerische Prüfung, die als Teilleistung der Leistungsphase 7 durch den Auftragnehmer zu erbringen ist (siehe auch </w:t>
            </w:r>
            <w:r w:rsidR="00702AB3" w:rsidRPr="00F1612D">
              <w:rPr>
                <w:sz w:val="20"/>
              </w:rPr>
              <w:t>Richtlini</w:t>
            </w:r>
            <w:r w:rsidRPr="00F1612D">
              <w:rPr>
                <w:sz w:val="20"/>
              </w:rPr>
              <w:t>e zur Anlage zu § 6).</w:t>
            </w:r>
          </w:p>
          <w:p w:rsidR="00B96B79" w:rsidRPr="00F1612D" w:rsidRDefault="00B96B79" w:rsidP="00595527">
            <w:pPr>
              <w:rPr>
                <w:sz w:val="20"/>
              </w:rPr>
            </w:pPr>
          </w:p>
        </w:tc>
      </w:tr>
      <w:tr w:rsidR="00E616B5" w:rsidRPr="00F1612D" w:rsidTr="005D697D">
        <w:trPr>
          <w:cantSplit/>
        </w:trPr>
        <w:tc>
          <w:tcPr>
            <w:tcW w:w="1172" w:type="dxa"/>
            <w:shd w:val="clear" w:color="auto" w:fill="auto"/>
          </w:tcPr>
          <w:p w:rsidR="00E616B5" w:rsidRPr="00F1612D" w:rsidRDefault="00E616B5" w:rsidP="00295C38">
            <w:pPr>
              <w:rPr>
                <w:b/>
                <w:sz w:val="20"/>
              </w:rPr>
            </w:pPr>
            <w:r w:rsidRPr="00F1612D">
              <w:rPr>
                <w:b/>
                <w:sz w:val="20"/>
              </w:rPr>
              <w:t>6.</w:t>
            </w:r>
            <w:r w:rsidR="00295C38" w:rsidRPr="00F1612D">
              <w:rPr>
                <w:b/>
                <w:sz w:val="20"/>
              </w:rPr>
              <w:t>5</w:t>
            </w:r>
          </w:p>
        </w:tc>
        <w:tc>
          <w:tcPr>
            <w:tcW w:w="8505" w:type="dxa"/>
            <w:gridSpan w:val="2"/>
            <w:shd w:val="clear" w:color="auto" w:fill="auto"/>
          </w:tcPr>
          <w:p w:rsidR="00E616B5" w:rsidRPr="00F1612D" w:rsidRDefault="00E616B5" w:rsidP="00595527">
            <w:pPr>
              <w:rPr>
                <w:b/>
                <w:sz w:val="20"/>
              </w:rPr>
            </w:pPr>
            <w:r w:rsidRPr="00F1612D">
              <w:rPr>
                <w:b/>
                <w:sz w:val="20"/>
              </w:rPr>
              <w:t xml:space="preserve">Leistungsstufe </w:t>
            </w:r>
            <w:r w:rsidR="00D25AB5" w:rsidRPr="00F1612D">
              <w:rPr>
                <w:b/>
                <w:sz w:val="20"/>
              </w:rPr>
              <w:t>5</w:t>
            </w:r>
            <w:r w:rsidRPr="00F1612D">
              <w:rPr>
                <w:b/>
                <w:sz w:val="20"/>
              </w:rPr>
              <w:t xml:space="preserve"> </w:t>
            </w:r>
          </w:p>
          <w:p w:rsidR="00E616B5" w:rsidRPr="00F1612D" w:rsidRDefault="00E616B5" w:rsidP="00595527">
            <w:pPr>
              <w:rPr>
                <w:sz w:val="20"/>
              </w:rPr>
            </w:pPr>
            <w:r w:rsidRPr="00F1612D">
              <w:rPr>
                <w:sz w:val="20"/>
              </w:rPr>
              <w:t>Die Dauer der Objektüberwachung ist spätestens mit Beginn der Bauausführung zwischen Auftraggeber und Auftragnehmer einvernehmlich festzulegen (</w:t>
            </w:r>
            <w:r w:rsidR="00B718DA" w:rsidRPr="00F1612D">
              <w:rPr>
                <w:sz w:val="20"/>
              </w:rPr>
              <w:t>b</w:t>
            </w:r>
            <w:r w:rsidRPr="00F1612D">
              <w:rPr>
                <w:sz w:val="20"/>
              </w:rPr>
              <w:t>ei Verlängerung der Bauzeit siehe § 10 Nr</w:t>
            </w:r>
            <w:r w:rsidR="00702AB3" w:rsidRPr="00F1612D">
              <w:rPr>
                <w:sz w:val="20"/>
              </w:rPr>
              <w:t>.</w:t>
            </w:r>
            <w:r w:rsidRPr="00F1612D">
              <w:rPr>
                <w:sz w:val="20"/>
              </w:rPr>
              <w:t xml:space="preserve"> 10.2 AVB).</w:t>
            </w:r>
          </w:p>
          <w:p w:rsidR="00671693" w:rsidRPr="00F1612D" w:rsidRDefault="00671693" w:rsidP="00757788">
            <w:pPr>
              <w:rPr>
                <w:sz w:val="20"/>
              </w:rPr>
            </w:pPr>
          </w:p>
        </w:tc>
      </w:tr>
    </w:tbl>
    <w:tbl>
      <w:tblPr>
        <w:tblStyle w:val="Tabellenraster"/>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0"/>
        <w:gridCol w:w="8369"/>
      </w:tblGrid>
      <w:tr w:rsidR="00702AB3" w:rsidRPr="00F1612D" w:rsidTr="00702AB3">
        <w:tc>
          <w:tcPr>
            <w:tcW w:w="1200" w:type="dxa"/>
          </w:tcPr>
          <w:p w:rsidR="00702AB3" w:rsidRPr="00F1612D" w:rsidRDefault="00702AB3" w:rsidP="00295C38">
            <w:pPr>
              <w:rPr>
                <w:rFonts w:cs="Arial"/>
                <w:b/>
                <w:color w:val="000000"/>
                <w:sz w:val="20"/>
              </w:rPr>
            </w:pPr>
            <w:r w:rsidRPr="00F1612D">
              <w:rPr>
                <w:rFonts w:cs="Arial"/>
                <w:b/>
                <w:color w:val="000000"/>
                <w:sz w:val="20"/>
              </w:rPr>
              <w:t>6.</w:t>
            </w:r>
            <w:r w:rsidR="00295C38" w:rsidRPr="00F1612D">
              <w:rPr>
                <w:rFonts w:cs="Arial"/>
                <w:b/>
                <w:color w:val="000000"/>
                <w:sz w:val="20"/>
              </w:rPr>
              <w:t>5</w:t>
            </w:r>
            <w:r w:rsidRPr="00F1612D">
              <w:rPr>
                <w:rFonts w:cs="Arial"/>
                <w:b/>
                <w:color w:val="000000"/>
                <w:sz w:val="20"/>
              </w:rPr>
              <w:t>.</w:t>
            </w:r>
            <w:r w:rsidR="00B718DA" w:rsidRPr="00F1612D">
              <w:rPr>
                <w:rFonts w:cs="Arial"/>
                <w:b/>
                <w:color w:val="000000"/>
                <w:sz w:val="20"/>
              </w:rPr>
              <w:t>4</w:t>
            </w:r>
          </w:p>
        </w:tc>
        <w:tc>
          <w:tcPr>
            <w:tcW w:w="8369" w:type="dxa"/>
          </w:tcPr>
          <w:p w:rsidR="00702AB3" w:rsidRPr="00F1612D" w:rsidRDefault="00702AB3" w:rsidP="0028127F">
            <w:pPr>
              <w:rPr>
                <w:rFonts w:cs="Arial"/>
                <w:sz w:val="20"/>
              </w:rPr>
            </w:pPr>
            <w:r w:rsidRPr="00F1612D">
              <w:rPr>
                <w:rFonts w:cs="Arial"/>
                <w:sz w:val="20"/>
              </w:rPr>
              <w:t>Dem Vertrag sind die Zusätzlichen Vertragsbestimmungen (ZVB) zur Rechnungsprüfung und den Feststellungsbescheinigungen (VI.3) beizufügen.</w:t>
            </w:r>
            <w:r w:rsidRPr="00F1612D">
              <w:t xml:space="preserve"> </w:t>
            </w:r>
          </w:p>
          <w:p w:rsidR="00702AB3" w:rsidRPr="00F1612D" w:rsidRDefault="00702AB3" w:rsidP="00EF14FD">
            <w:pPr>
              <w:rPr>
                <w:rFonts w:cs="Arial"/>
                <w:sz w:val="20"/>
              </w:rPr>
            </w:pPr>
          </w:p>
        </w:tc>
      </w:tr>
    </w:tbl>
    <w:tbl>
      <w:tblPr>
        <w:tblW w:w="9677" w:type="dxa"/>
        <w:tblLayout w:type="fixed"/>
        <w:tblLook w:val="01E0" w:firstRow="1" w:lastRow="1" w:firstColumn="1" w:lastColumn="1" w:noHBand="0" w:noVBand="0"/>
      </w:tblPr>
      <w:tblGrid>
        <w:gridCol w:w="1172"/>
        <w:gridCol w:w="8505"/>
      </w:tblGrid>
      <w:tr w:rsidR="00E616B5" w:rsidRPr="00F1612D" w:rsidTr="005D697D">
        <w:trPr>
          <w:cantSplit/>
        </w:trPr>
        <w:tc>
          <w:tcPr>
            <w:tcW w:w="1172" w:type="dxa"/>
            <w:shd w:val="clear" w:color="auto" w:fill="auto"/>
          </w:tcPr>
          <w:p w:rsidR="00E616B5" w:rsidRPr="00F1612D" w:rsidRDefault="00E616B5" w:rsidP="00295C38">
            <w:pPr>
              <w:rPr>
                <w:b/>
                <w:sz w:val="20"/>
              </w:rPr>
            </w:pPr>
            <w:r w:rsidRPr="00F1612D">
              <w:rPr>
                <w:b/>
                <w:sz w:val="20"/>
              </w:rPr>
              <w:t>6.</w:t>
            </w:r>
            <w:r w:rsidR="00295C38" w:rsidRPr="00F1612D">
              <w:rPr>
                <w:b/>
                <w:sz w:val="20"/>
              </w:rPr>
              <w:t>5</w:t>
            </w:r>
            <w:r w:rsidRPr="00F1612D">
              <w:rPr>
                <w:b/>
                <w:sz w:val="20"/>
              </w:rPr>
              <w:t>.</w:t>
            </w:r>
            <w:r w:rsidR="00EF14FD" w:rsidRPr="00F1612D">
              <w:rPr>
                <w:b/>
                <w:sz w:val="20"/>
              </w:rPr>
              <w:t>5</w:t>
            </w:r>
          </w:p>
        </w:tc>
        <w:tc>
          <w:tcPr>
            <w:tcW w:w="8505" w:type="dxa"/>
            <w:shd w:val="clear" w:color="auto" w:fill="auto"/>
          </w:tcPr>
          <w:p w:rsidR="00E616B5" w:rsidRPr="00F1612D" w:rsidRDefault="00E616B5" w:rsidP="00595527">
            <w:pPr>
              <w:rPr>
                <w:sz w:val="20"/>
              </w:rPr>
            </w:pPr>
            <w:r w:rsidRPr="00F1612D">
              <w:rPr>
                <w:sz w:val="20"/>
              </w:rPr>
              <w:t xml:space="preserve">Fristen zur Rechnungsvorlage sind so </w:t>
            </w:r>
            <w:r w:rsidR="001D2F25" w:rsidRPr="00F1612D">
              <w:rPr>
                <w:rFonts w:cs="Arial"/>
                <w:sz w:val="20"/>
              </w:rPr>
              <w:t xml:space="preserve">(in Kalender- oder Werktagen) </w:t>
            </w:r>
            <w:r w:rsidRPr="00F1612D">
              <w:rPr>
                <w:sz w:val="20"/>
              </w:rPr>
              <w:t xml:space="preserve">festzulegen, dass die Zahlungsfristen eingehalten werden können. </w:t>
            </w:r>
          </w:p>
          <w:p w:rsidR="001D2F25" w:rsidRPr="00F1612D" w:rsidRDefault="001D2F25" w:rsidP="00595527">
            <w:pPr>
              <w:rPr>
                <w:sz w:val="20"/>
              </w:rPr>
            </w:pPr>
          </w:p>
        </w:tc>
      </w:tr>
    </w:tbl>
    <w:p w:rsidR="009122A5" w:rsidRPr="00F1612D" w:rsidRDefault="009122A5">
      <w:r w:rsidRPr="00F1612D">
        <w:br w:type="page"/>
      </w:r>
    </w:p>
    <w:tbl>
      <w:tblPr>
        <w:tblW w:w="9677" w:type="dxa"/>
        <w:tblLayout w:type="fixed"/>
        <w:tblLook w:val="01E0" w:firstRow="1" w:lastRow="1" w:firstColumn="1" w:lastColumn="1" w:noHBand="0" w:noVBand="0"/>
      </w:tblPr>
      <w:tblGrid>
        <w:gridCol w:w="1172"/>
        <w:gridCol w:w="786"/>
        <w:gridCol w:w="7719"/>
      </w:tblGrid>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lastRenderedPageBreak/>
              <w:t>6.</w:t>
            </w:r>
            <w:r w:rsidR="00295C38" w:rsidRPr="00F1612D">
              <w:rPr>
                <w:b/>
                <w:sz w:val="20"/>
              </w:rPr>
              <w:t>6</w:t>
            </w:r>
          </w:p>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b/>
                <w:sz w:val="20"/>
              </w:rPr>
            </w:pPr>
            <w:r w:rsidRPr="00F1612D">
              <w:rPr>
                <w:b/>
                <w:sz w:val="20"/>
              </w:rPr>
              <w:t xml:space="preserve">Leistungsstufe </w:t>
            </w:r>
            <w:r w:rsidR="00295C38" w:rsidRPr="00F1612D">
              <w:rPr>
                <w:b/>
                <w:sz w:val="20"/>
              </w:rPr>
              <w:t>6</w:t>
            </w:r>
          </w:p>
          <w:p w:rsidR="00E616B5" w:rsidRPr="00F1612D" w:rsidRDefault="00E616B5" w:rsidP="00B718DA">
            <w:pPr>
              <w:rPr>
                <w:sz w:val="20"/>
              </w:rPr>
            </w:pPr>
          </w:p>
        </w:tc>
      </w:tr>
      <w:tr w:rsidR="00E616B5" w:rsidRPr="00F1612D" w:rsidTr="005D697D">
        <w:trPr>
          <w:cantSplit/>
        </w:trPr>
        <w:tc>
          <w:tcPr>
            <w:tcW w:w="1172" w:type="dxa"/>
            <w:shd w:val="clear" w:color="auto" w:fill="auto"/>
          </w:tcPr>
          <w:p w:rsidR="00E616B5" w:rsidRPr="00F1612D" w:rsidRDefault="00E616B5" w:rsidP="00295C38">
            <w:pPr>
              <w:rPr>
                <w:b/>
                <w:sz w:val="20"/>
              </w:rPr>
            </w:pPr>
            <w:r w:rsidRPr="00F1612D">
              <w:rPr>
                <w:b/>
                <w:sz w:val="20"/>
              </w:rPr>
              <w:t>6.</w:t>
            </w:r>
            <w:r w:rsidR="00295C38" w:rsidRPr="00F1612D">
              <w:rPr>
                <w:b/>
                <w:sz w:val="20"/>
              </w:rPr>
              <w:t>6</w:t>
            </w:r>
            <w:r w:rsidRPr="00F1612D">
              <w:rPr>
                <w:b/>
                <w:sz w:val="20"/>
              </w:rPr>
              <w:t>.2</w:t>
            </w:r>
          </w:p>
        </w:tc>
        <w:tc>
          <w:tcPr>
            <w:tcW w:w="8505" w:type="dxa"/>
            <w:gridSpan w:val="2"/>
            <w:shd w:val="clear" w:color="auto" w:fill="auto"/>
          </w:tcPr>
          <w:p w:rsidR="00E616B5" w:rsidRPr="00F1612D" w:rsidRDefault="00E616B5" w:rsidP="00595527">
            <w:pPr>
              <w:rPr>
                <w:sz w:val="20"/>
              </w:rPr>
            </w:pPr>
            <w:r w:rsidRPr="00F1612D">
              <w:rPr>
                <w:sz w:val="20"/>
              </w:rPr>
              <w:t>Die Grundleistung zur fachlichen Bewertung der festgestellten Mängel einschließlich notwendiger Begehungen bezieht sich auf die Verjährungsfrist gemäß § 438 Absatz 1 Nummer 2 BGB (5 Jahre). Die Überwachung der Mängelbeseitigung innerhalb der Verjährungsfrist ist als Besondere Leistung frei zu vereinbaren.</w:t>
            </w:r>
          </w:p>
          <w:p w:rsidR="001D2F25" w:rsidRPr="00F1612D" w:rsidRDefault="001D2F25" w:rsidP="00595527">
            <w:pPr>
              <w:rPr>
                <w:sz w:val="20"/>
              </w:rPr>
            </w:pPr>
          </w:p>
        </w:tc>
      </w:tr>
      <w:tr w:rsidR="00E616B5" w:rsidRPr="00F1612D" w:rsidTr="005D697D">
        <w:trPr>
          <w:cantSplit/>
        </w:trPr>
        <w:tc>
          <w:tcPr>
            <w:tcW w:w="1172" w:type="dxa"/>
            <w:shd w:val="clear" w:color="auto" w:fill="auto"/>
          </w:tcPr>
          <w:p w:rsidR="00E616B5" w:rsidRPr="00F1612D" w:rsidRDefault="001D2F25" w:rsidP="00595527">
            <w:pPr>
              <w:rPr>
                <w:b/>
                <w:sz w:val="20"/>
              </w:rPr>
            </w:pPr>
            <w:r w:rsidRPr="00F1612D">
              <w:rPr>
                <w:b/>
                <w:sz w:val="20"/>
              </w:rPr>
              <w:t xml:space="preserve">zu </w:t>
            </w:r>
            <w:r w:rsidR="00E616B5" w:rsidRPr="00F1612D">
              <w:rPr>
                <w:b/>
                <w:sz w:val="20"/>
              </w:rPr>
              <w:t>§ 7</w:t>
            </w:r>
          </w:p>
          <w:p w:rsidR="00E616B5" w:rsidRPr="00F1612D" w:rsidRDefault="00E616B5" w:rsidP="00595527">
            <w:pPr>
              <w:rPr>
                <w:b/>
                <w:sz w:val="20"/>
              </w:rPr>
            </w:pPr>
            <w:r w:rsidRPr="00F1612D">
              <w:rPr>
                <w:b/>
                <w:sz w:val="20"/>
              </w:rPr>
              <w:t>7.2</w:t>
            </w:r>
            <w:r w:rsidRPr="00F1612D">
              <w:rPr>
                <w:b/>
                <w:sz w:val="20"/>
              </w:rPr>
              <w:br/>
            </w:r>
          </w:p>
        </w:tc>
        <w:tc>
          <w:tcPr>
            <w:tcW w:w="8505" w:type="dxa"/>
            <w:gridSpan w:val="2"/>
            <w:shd w:val="clear" w:color="auto" w:fill="auto"/>
          </w:tcPr>
          <w:p w:rsidR="00E616B5" w:rsidRPr="00F1612D" w:rsidRDefault="00E616B5" w:rsidP="00595527">
            <w:pPr>
              <w:rPr>
                <w:b/>
                <w:sz w:val="20"/>
              </w:rPr>
            </w:pPr>
            <w:r w:rsidRPr="00F1612D">
              <w:rPr>
                <w:b/>
                <w:sz w:val="20"/>
              </w:rPr>
              <w:t>Fachlich Beteiligte</w:t>
            </w:r>
          </w:p>
          <w:p w:rsidR="00E616B5" w:rsidRPr="00F1612D" w:rsidRDefault="001D2F25" w:rsidP="00595527">
            <w:pPr>
              <w:rPr>
                <w:sz w:val="20"/>
              </w:rPr>
            </w:pPr>
            <w:r w:rsidRPr="00F1612D">
              <w:rPr>
                <w:rFonts w:cs="Arial"/>
                <w:sz w:val="20"/>
              </w:rPr>
              <w:t xml:space="preserve">Zur </w:t>
            </w:r>
            <w:r w:rsidRPr="00F1612D">
              <w:rPr>
                <w:rFonts w:cs="Arial"/>
                <w:b/>
                <w:sz w:val="20"/>
              </w:rPr>
              <w:t>Einschaltung eines Projektsteuerers</w:t>
            </w:r>
            <w:r w:rsidRPr="00F1612D">
              <w:rPr>
                <w:rFonts w:cs="Arial"/>
                <w:sz w:val="20"/>
              </w:rPr>
              <w:t xml:space="preserve"> ist I.6 A Nr. 2 VHF zu beachten. </w:t>
            </w:r>
            <w:r w:rsidR="00E616B5" w:rsidRPr="00F1612D">
              <w:rPr>
                <w:sz w:val="20"/>
              </w:rPr>
              <w:t>Diese Leistungen dürfen nicht Auftragnehmern übertragen werden, denen gleichzeitig die Objektplanung übertragen wird.</w:t>
            </w:r>
          </w:p>
          <w:p w:rsidR="001D2F25" w:rsidRPr="00F1612D" w:rsidRDefault="001D2F25"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 xml:space="preserve">Zu § 8 </w:t>
            </w:r>
          </w:p>
          <w:p w:rsidR="00E616B5" w:rsidRPr="00F1612D" w:rsidRDefault="00E616B5" w:rsidP="00595527">
            <w:pPr>
              <w:rPr>
                <w:b/>
                <w:sz w:val="20"/>
              </w:rPr>
            </w:pPr>
            <w:r w:rsidRPr="00F1612D">
              <w:rPr>
                <w:b/>
                <w:sz w:val="20"/>
              </w:rPr>
              <w:t>8.1</w:t>
            </w:r>
            <w:r w:rsidRPr="00F1612D">
              <w:rPr>
                <w:b/>
                <w:sz w:val="20"/>
              </w:rPr>
              <w:br/>
            </w:r>
          </w:p>
        </w:tc>
        <w:tc>
          <w:tcPr>
            <w:tcW w:w="8505" w:type="dxa"/>
            <w:gridSpan w:val="2"/>
            <w:shd w:val="clear" w:color="auto" w:fill="auto"/>
          </w:tcPr>
          <w:p w:rsidR="00E616B5" w:rsidRPr="00F1612D" w:rsidRDefault="00E616B5" w:rsidP="00595527">
            <w:pPr>
              <w:rPr>
                <w:b/>
                <w:sz w:val="20"/>
              </w:rPr>
            </w:pPr>
            <w:r w:rsidRPr="00F1612D">
              <w:rPr>
                <w:b/>
                <w:sz w:val="20"/>
              </w:rPr>
              <w:t>Personaleinsatz des Auftragnehmers</w:t>
            </w:r>
          </w:p>
          <w:p w:rsidR="00E616B5" w:rsidRPr="00F1612D" w:rsidRDefault="00E616B5" w:rsidP="00595527">
            <w:pPr>
              <w:rPr>
                <w:sz w:val="20"/>
              </w:rPr>
            </w:pPr>
            <w:r w:rsidRPr="00F1612D">
              <w:rPr>
                <w:sz w:val="20"/>
              </w:rPr>
              <w:t>Die für die Erbringung der Leistungen fachlich Verantwortlichen sind zwingend hier unter § 8 Nr</w:t>
            </w:r>
            <w:r w:rsidR="00671693" w:rsidRPr="00F1612D">
              <w:rPr>
                <w:sz w:val="20"/>
              </w:rPr>
              <w:t>.</w:t>
            </w:r>
            <w:r w:rsidRPr="00F1612D">
              <w:rPr>
                <w:sz w:val="20"/>
              </w:rPr>
              <w:t xml:space="preserve"> 8.1 des Vertrages einzutragen.</w:t>
            </w:r>
          </w:p>
          <w:p w:rsidR="001D2F25" w:rsidRPr="00F1612D" w:rsidRDefault="001D2F25" w:rsidP="00595527">
            <w:pPr>
              <w:rPr>
                <w:sz w:val="20"/>
              </w:rPr>
            </w:pPr>
          </w:p>
        </w:tc>
      </w:tr>
      <w:tr w:rsidR="00E616B5" w:rsidRPr="00F1612D" w:rsidTr="005D697D">
        <w:trPr>
          <w:cantSplit/>
        </w:trPr>
        <w:tc>
          <w:tcPr>
            <w:tcW w:w="1172" w:type="dxa"/>
            <w:shd w:val="clear" w:color="auto" w:fill="auto"/>
          </w:tcPr>
          <w:p w:rsidR="00E616B5" w:rsidRPr="00F1612D" w:rsidRDefault="00E616B5" w:rsidP="00AA4A34">
            <w:pPr>
              <w:jc w:val="left"/>
              <w:rPr>
                <w:b/>
                <w:sz w:val="20"/>
              </w:rPr>
            </w:pPr>
            <w:r w:rsidRPr="00F1612D">
              <w:rPr>
                <w:b/>
                <w:sz w:val="20"/>
              </w:rPr>
              <w:t xml:space="preserve">Zu § 9 </w:t>
            </w:r>
            <w:r w:rsidRPr="00F1612D">
              <w:rPr>
                <w:b/>
                <w:sz w:val="20"/>
              </w:rPr>
              <w:br/>
            </w:r>
          </w:p>
        </w:tc>
        <w:tc>
          <w:tcPr>
            <w:tcW w:w="8505" w:type="dxa"/>
            <w:gridSpan w:val="2"/>
            <w:shd w:val="clear" w:color="auto" w:fill="auto"/>
          </w:tcPr>
          <w:p w:rsidR="00E616B5" w:rsidRPr="00F1612D" w:rsidRDefault="00E616B5" w:rsidP="00595527">
            <w:pPr>
              <w:rPr>
                <w:b/>
                <w:sz w:val="20"/>
              </w:rPr>
            </w:pPr>
            <w:r w:rsidRPr="00F1612D">
              <w:rPr>
                <w:b/>
                <w:sz w:val="20"/>
              </w:rPr>
              <w:t>Baustellenbüro</w:t>
            </w:r>
          </w:p>
          <w:p w:rsidR="00E616B5" w:rsidRPr="00F1612D" w:rsidRDefault="00E616B5" w:rsidP="00595527">
            <w:pPr>
              <w:rPr>
                <w:sz w:val="20"/>
              </w:rPr>
            </w:pPr>
            <w:r w:rsidRPr="00F1612D">
              <w:rPr>
                <w:sz w:val="20"/>
              </w:rPr>
              <w:t>Die Forderung nach Anwesenheit der Auftragnehmer muss in Abhängigkeit von Art, Schwierigkeitsgrad, Komplexität, Mängelanfälligkeit der Bauausführungsleistungen und Umfang der Überwachungsleistung angemessen sein. Vor Vertragsabschluss ist zu klären, wer die Kosten für das Baustellenbüro tragen soll.</w:t>
            </w:r>
          </w:p>
          <w:p w:rsidR="001D2F25" w:rsidRPr="00F1612D" w:rsidRDefault="001D2F25" w:rsidP="00595527">
            <w:pPr>
              <w:rPr>
                <w:sz w:val="20"/>
              </w:rPr>
            </w:pPr>
          </w:p>
        </w:tc>
      </w:tr>
      <w:tr w:rsidR="00E179F3" w:rsidRPr="00F1612D" w:rsidTr="005D697D">
        <w:tc>
          <w:tcPr>
            <w:tcW w:w="1172" w:type="dxa"/>
            <w:shd w:val="clear" w:color="auto" w:fill="auto"/>
          </w:tcPr>
          <w:p w:rsidR="00E179F3" w:rsidRPr="00F1612D" w:rsidRDefault="00E179F3" w:rsidP="00E179F3">
            <w:pPr>
              <w:rPr>
                <w:b/>
                <w:sz w:val="20"/>
              </w:rPr>
            </w:pPr>
            <w:r w:rsidRPr="00F1612D">
              <w:rPr>
                <w:b/>
                <w:sz w:val="20"/>
              </w:rPr>
              <w:t>Zu § 10</w:t>
            </w:r>
          </w:p>
          <w:p w:rsidR="00E179F3" w:rsidRPr="00F1612D" w:rsidRDefault="00E179F3" w:rsidP="00595527">
            <w:pPr>
              <w:rPr>
                <w:b/>
                <w:sz w:val="20"/>
              </w:rPr>
            </w:pPr>
          </w:p>
        </w:tc>
        <w:tc>
          <w:tcPr>
            <w:tcW w:w="8505" w:type="dxa"/>
            <w:gridSpan w:val="2"/>
            <w:shd w:val="clear" w:color="auto" w:fill="auto"/>
          </w:tcPr>
          <w:p w:rsidR="00E179F3" w:rsidRPr="00F1612D" w:rsidRDefault="00E179F3" w:rsidP="00E179F3">
            <w:pPr>
              <w:rPr>
                <w:b/>
                <w:sz w:val="20"/>
              </w:rPr>
            </w:pPr>
            <w:r w:rsidRPr="00F1612D">
              <w:rPr>
                <w:b/>
                <w:sz w:val="20"/>
              </w:rPr>
              <w:t>Honorar</w:t>
            </w:r>
          </w:p>
          <w:p w:rsidR="00A42910" w:rsidRPr="004528D8" w:rsidRDefault="00A42910" w:rsidP="00A42910">
            <w:pPr>
              <w:spacing w:before="80" w:line="276" w:lineRule="auto"/>
              <w:rPr>
                <w:rFonts w:cs="Arial"/>
                <w:sz w:val="20"/>
              </w:rPr>
            </w:pPr>
            <w:r w:rsidRPr="004528D8">
              <w:rPr>
                <w:rFonts w:cs="Arial"/>
                <w:sz w:val="20"/>
              </w:rPr>
              <w:t xml:space="preserve">Übergangsregelung in Folge des Urteils des EuGH vom 4. Juli 2019 (Rechtssache C-377/17): </w:t>
            </w:r>
          </w:p>
          <w:p w:rsidR="00A42910" w:rsidRDefault="00A42910" w:rsidP="00A42910">
            <w:pPr>
              <w:rPr>
                <w:rFonts w:cs="Arial"/>
                <w:sz w:val="20"/>
              </w:rPr>
            </w:pPr>
            <w:r w:rsidRPr="004528D8">
              <w:rPr>
                <w:rFonts w:cs="Arial"/>
                <w:sz w:val="20"/>
              </w:rPr>
              <w:t>Die Honorarermittlung für die Grundleistungen der Leistungsbilder der Teile 2 - 4 der HOAI in der Fassung der Bekanntmachung vom 10.07.2013 (BGBl. S. 2276) erfolgt nach den jeweiligen Berechnungsparametern der HOAI. Grundlage für die Honorarberechnung ist in der Regel der Mindestsatz (siehe Nummer 10.3). Auf dieses Honorar für die Grundleistungen können Zu- oder Abschläge vereinbart werden (siehe Nummer 10.7).</w:t>
            </w:r>
          </w:p>
          <w:p w:rsidR="004528D8" w:rsidRPr="00F1612D" w:rsidRDefault="004528D8" w:rsidP="00E179F3">
            <w:pPr>
              <w:rPr>
                <w:sz w:val="20"/>
              </w:rPr>
            </w:pPr>
          </w:p>
          <w:p w:rsidR="00E179F3" w:rsidRPr="00F1612D" w:rsidRDefault="00E179F3" w:rsidP="00E179F3">
            <w:pPr>
              <w:rPr>
                <w:sz w:val="20"/>
              </w:rPr>
            </w:pPr>
            <w:r w:rsidRPr="00F1612D">
              <w:rPr>
                <w:sz w:val="20"/>
              </w:rPr>
              <w:t xml:space="preserve">Bei Vertragsabschluss sind in der vorläufigen Honorarermittlung gemäß Anlage VII.11.5 zu § 10 </w:t>
            </w:r>
            <w:r w:rsidRPr="00F1612D">
              <w:rPr>
                <w:rFonts w:cs="Arial"/>
                <w:sz w:val="20"/>
              </w:rPr>
              <w:t xml:space="preserve">die Kosten der Kostenschätzung </w:t>
            </w:r>
            <w:r w:rsidRPr="00F1612D">
              <w:rPr>
                <w:sz w:val="20"/>
              </w:rPr>
              <w:t xml:space="preserve">zugrunde zu legen und einzutragen. </w:t>
            </w:r>
          </w:p>
          <w:p w:rsidR="00E179F3" w:rsidRPr="00F1612D" w:rsidRDefault="00E179F3" w:rsidP="00E179F3">
            <w:pPr>
              <w:rPr>
                <w:sz w:val="20"/>
              </w:rPr>
            </w:pPr>
            <w:r w:rsidRPr="00F1612D">
              <w:rPr>
                <w:sz w:val="20"/>
              </w:rPr>
              <w:t>Das endgültige Honorar für die Leistungen der Leistungsstufe 1 ist auf der Grundlage der seitens des Auftraggebers bestätigten Kostenberechnung zu ermitteln. Nachträge sind nicht Bestandteil der Kostenberechnung und damit nicht Grundlage für die Honorarermittlung für die Leistungen zur Leistungsstufe 1.</w:t>
            </w:r>
          </w:p>
          <w:p w:rsidR="00E179F3" w:rsidRPr="00F1612D" w:rsidRDefault="00E179F3" w:rsidP="00E179F3">
            <w:pPr>
              <w:rPr>
                <w:sz w:val="20"/>
              </w:rPr>
            </w:pPr>
          </w:p>
          <w:p w:rsidR="00E179F3" w:rsidRPr="00F1612D" w:rsidRDefault="00E179F3" w:rsidP="00E179F3">
            <w:pPr>
              <w:rPr>
                <w:sz w:val="20"/>
              </w:rPr>
            </w:pPr>
            <w:r w:rsidRPr="00F1612D">
              <w:rPr>
                <w:sz w:val="20"/>
              </w:rPr>
              <w:t xml:space="preserve">Werden Änderungen erforderlich, die zu Mehrarbeiten des Fachplaners bei den Leistungen zur </w:t>
            </w:r>
            <w:r w:rsidR="00B718DA" w:rsidRPr="00F1612D">
              <w:rPr>
                <w:sz w:val="20"/>
              </w:rPr>
              <w:t>Leistungss</w:t>
            </w:r>
            <w:r w:rsidRPr="00F1612D">
              <w:rPr>
                <w:sz w:val="20"/>
              </w:rPr>
              <w:t>tufe 1 führen, ist über deren angemessene Honorierung eine zusätzliche Vereinbarung zu treffen. Insoweit können entweder die änderungsbedingten Mehrkosten der Kostenberechnung zugrunde gelegt werden oder die Mehrleistungen pauschal nach Zeitaufwand honoriert werden (vgl. § 10 Nr. 10.</w:t>
            </w:r>
            <w:r w:rsidR="00DB6530">
              <w:rPr>
                <w:sz w:val="20"/>
              </w:rPr>
              <w:t>3</w:t>
            </w:r>
            <w:r w:rsidRPr="00F1612D">
              <w:rPr>
                <w:sz w:val="20"/>
              </w:rPr>
              <w:t xml:space="preserve"> AVB).</w:t>
            </w:r>
          </w:p>
          <w:p w:rsidR="00E179F3" w:rsidRPr="00F1612D" w:rsidRDefault="00E179F3" w:rsidP="00595527">
            <w:pPr>
              <w:rPr>
                <w:b/>
                <w:sz w:val="20"/>
              </w:rPr>
            </w:pPr>
          </w:p>
        </w:tc>
      </w:tr>
      <w:tr w:rsidR="00E616B5" w:rsidRPr="00F1612D" w:rsidTr="005D697D">
        <w:tc>
          <w:tcPr>
            <w:tcW w:w="1172" w:type="dxa"/>
            <w:shd w:val="clear" w:color="auto" w:fill="auto"/>
          </w:tcPr>
          <w:p w:rsidR="00E616B5" w:rsidRPr="00F1612D" w:rsidRDefault="00E616B5" w:rsidP="00595527">
            <w:pPr>
              <w:rPr>
                <w:b/>
                <w:sz w:val="20"/>
              </w:rPr>
            </w:pPr>
            <w:r w:rsidRPr="00F1612D">
              <w:rPr>
                <w:b/>
                <w:sz w:val="20"/>
              </w:rPr>
              <w:t>10.1</w:t>
            </w:r>
          </w:p>
        </w:tc>
        <w:tc>
          <w:tcPr>
            <w:tcW w:w="8505" w:type="dxa"/>
            <w:gridSpan w:val="2"/>
            <w:shd w:val="clear" w:color="auto" w:fill="auto"/>
          </w:tcPr>
          <w:p w:rsidR="00E616B5" w:rsidRPr="00F1612D" w:rsidRDefault="00E616B5" w:rsidP="00595527">
            <w:pPr>
              <w:rPr>
                <w:b/>
                <w:sz w:val="20"/>
              </w:rPr>
            </w:pPr>
            <w:r w:rsidRPr="00F1612D">
              <w:rPr>
                <w:b/>
                <w:sz w:val="20"/>
              </w:rPr>
              <w:t>Anrechenbare Kosten</w:t>
            </w:r>
          </w:p>
          <w:p w:rsidR="00E616B5" w:rsidRPr="00F1612D" w:rsidRDefault="00E616B5" w:rsidP="00595527">
            <w:pPr>
              <w:rPr>
                <w:sz w:val="20"/>
              </w:rPr>
            </w:pPr>
            <w:r w:rsidRPr="00F1612D">
              <w:rPr>
                <w:sz w:val="20"/>
              </w:rPr>
              <w:t>Soweit aus haushaltsrechtlichen Erwägungen Teile der Baumaßnahme, die Gegenstand der Planung zur Leistungsstufe</w:t>
            </w:r>
            <w:r w:rsidR="00DE61AF" w:rsidRPr="00F1612D">
              <w:rPr>
                <w:sz w:val="20"/>
              </w:rPr>
              <w:t>n</w:t>
            </w:r>
            <w:r w:rsidRPr="00F1612D">
              <w:rPr>
                <w:sz w:val="20"/>
              </w:rPr>
              <w:t xml:space="preserve"> 1 </w:t>
            </w:r>
            <w:r w:rsidR="00DE61AF" w:rsidRPr="00F1612D">
              <w:rPr>
                <w:sz w:val="20"/>
              </w:rPr>
              <w:t xml:space="preserve">und/oder 2 </w:t>
            </w:r>
            <w:r w:rsidRPr="00F1612D">
              <w:rPr>
                <w:sz w:val="20"/>
              </w:rPr>
              <w:t>sind, nicht weitergeplant oder zurückgestellt werden, ist eine entsprechende Vertragsanpassung vorzunehmen. Sofern die betreffenden Leistungen bereits vertragsgemäß erbracht sind, sind diese auch vertragsgemäß zu vergüten. Die Bestimmung nach § 10 Nr</w:t>
            </w:r>
            <w:r w:rsidR="00A631E3" w:rsidRPr="00F1612D">
              <w:rPr>
                <w:sz w:val="20"/>
              </w:rPr>
              <w:t>.</w:t>
            </w:r>
            <w:r w:rsidRPr="00F1612D">
              <w:rPr>
                <w:sz w:val="20"/>
              </w:rPr>
              <w:t xml:space="preserve"> 10.1 des Vertrages ist in dem Fall nur bedingt – bezogen auf das baufachlich geprüfte und anerkannte Prüfergebnis </w:t>
            </w:r>
            <w:r w:rsidR="00B84DB3" w:rsidRPr="00F1612D">
              <w:rPr>
                <w:sz w:val="20"/>
              </w:rPr>
              <w:t xml:space="preserve">der </w:t>
            </w:r>
            <w:r w:rsidR="00DE61AF" w:rsidRPr="00F1612D">
              <w:rPr>
                <w:sz w:val="20"/>
              </w:rPr>
              <w:t xml:space="preserve">Vor- und/oder </w:t>
            </w:r>
            <w:r w:rsidR="00B84DB3" w:rsidRPr="00F1612D">
              <w:rPr>
                <w:sz w:val="20"/>
              </w:rPr>
              <w:t>Entwurfsplanung</w:t>
            </w:r>
            <w:r w:rsidR="00B935B7" w:rsidRPr="00F1612D">
              <w:rPr>
                <w:sz w:val="20"/>
              </w:rPr>
              <w:t xml:space="preserve">– </w:t>
            </w:r>
            <w:r w:rsidRPr="00F1612D">
              <w:rPr>
                <w:sz w:val="20"/>
              </w:rPr>
              <w:t>anwendbar.</w:t>
            </w:r>
          </w:p>
          <w:p w:rsidR="00A631E3" w:rsidRPr="00F1612D" w:rsidRDefault="00A631E3" w:rsidP="00595527">
            <w:pPr>
              <w:rPr>
                <w:sz w:val="20"/>
              </w:rPr>
            </w:pPr>
          </w:p>
          <w:p w:rsidR="00E616B5" w:rsidRPr="00F1612D" w:rsidRDefault="00E616B5" w:rsidP="00595527">
            <w:pPr>
              <w:rPr>
                <w:sz w:val="20"/>
              </w:rPr>
            </w:pPr>
            <w:r w:rsidRPr="00F1612D">
              <w:rPr>
                <w:sz w:val="20"/>
              </w:rPr>
              <w:t>Die Ermittlung der Vergütung richtet sich nach §§ 4</w:t>
            </w:r>
            <w:r w:rsidR="00293D62" w:rsidRPr="00F1612D">
              <w:rPr>
                <w:sz w:val="20"/>
              </w:rPr>
              <w:t xml:space="preserve"> </w:t>
            </w:r>
            <w:r w:rsidRPr="00F1612D">
              <w:rPr>
                <w:sz w:val="20"/>
              </w:rPr>
              <w:t>-</w:t>
            </w:r>
            <w:r w:rsidR="00293D62" w:rsidRPr="00F1612D">
              <w:rPr>
                <w:sz w:val="20"/>
              </w:rPr>
              <w:t xml:space="preserve"> </w:t>
            </w:r>
            <w:r w:rsidRPr="00F1612D">
              <w:rPr>
                <w:sz w:val="20"/>
              </w:rPr>
              <w:t>11 und §§ 52</w:t>
            </w:r>
            <w:r w:rsidR="00293D62" w:rsidRPr="00F1612D">
              <w:rPr>
                <w:sz w:val="20"/>
              </w:rPr>
              <w:t xml:space="preserve"> </w:t>
            </w:r>
            <w:r w:rsidRPr="00F1612D">
              <w:rPr>
                <w:sz w:val="20"/>
              </w:rPr>
              <w:t>-</w:t>
            </w:r>
            <w:r w:rsidR="00293D62" w:rsidRPr="00F1612D">
              <w:rPr>
                <w:sz w:val="20"/>
              </w:rPr>
              <w:t xml:space="preserve"> </w:t>
            </w:r>
            <w:r w:rsidRPr="00F1612D">
              <w:rPr>
                <w:sz w:val="20"/>
              </w:rPr>
              <w:t>54 HOAI.</w:t>
            </w:r>
          </w:p>
          <w:p w:rsidR="00A631E3" w:rsidRPr="00F1612D" w:rsidRDefault="00A631E3" w:rsidP="00595527">
            <w:pPr>
              <w:rPr>
                <w:sz w:val="20"/>
              </w:rPr>
            </w:pPr>
          </w:p>
          <w:p w:rsidR="00E616B5" w:rsidRPr="00F1612D" w:rsidRDefault="00E616B5" w:rsidP="00595527">
            <w:pPr>
              <w:rPr>
                <w:sz w:val="20"/>
              </w:rPr>
            </w:pPr>
            <w:r w:rsidRPr="00F1612D">
              <w:rPr>
                <w:sz w:val="20"/>
              </w:rPr>
              <w:t xml:space="preserve">Besteht eine Baumaßnahme aus mehreren baulichen Anlagen, so sind die Honorare vorbehaltlich der in § 11 HOAI geregelten Ausnahmen für jedes Gebäude getrennt zu berechnen. </w:t>
            </w:r>
          </w:p>
          <w:p w:rsidR="00E616B5" w:rsidRPr="00F1612D" w:rsidRDefault="00E616B5" w:rsidP="00595527">
            <w:pPr>
              <w:rPr>
                <w:sz w:val="20"/>
              </w:rPr>
            </w:pPr>
            <w:r w:rsidRPr="00F1612D">
              <w:rPr>
                <w:sz w:val="20"/>
              </w:rPr>
              <w:t>Soweit Anlagen einer Anlagengruppe verschiedenen Honorarzonen zugeordnet werden, sind die anrechenbaren Kosten unter Beachtung folgender Formel zu ermitteln:</w:t>
            </w:r>
          </w:p>
          <w:p w:rsidR="00E616B5" w:rsidRPr="00F1612D" w:rsidRDefault="00E616B5" w:rsidP="00595527">
            <w:pPr>
              <w:rPr>
                <w:sz w:val="20"/>
              </w:rPr>
            </w:pPr>
          </w:p>
          <w:tbl>
            <w:tblPr>
              <w:tblW w:w="8326" w:type="dxa"/>
              <w:tblLayout w:type="fixed"/>
              <w:tblLook w:val="01E0" w:firstRow="1" w:lastRow="1" w:firstColumn="1" w:lastColumn="1" w:noHBand="0" w:noVBand="0"/>
            </w:tblPr>
            <w:tblGrid>
              <w:gridCol w:w="2535"/>
              <w:gridCol w:w="5791"/>
            </w:tblGrid>
            <w:tr w:rsidR="00E616B5" w:rsidRPr="00F1612D" w:rsidTr="00C61F97">
              <w:trPr>
                <w:trHeight w:val="964"/>
              </w:trPr>
              <w:tc>
                <w:tcPr>
                  <w:tcW w:w="2535" w:type="dxa"/>
                  <w:shd w:val="clear" w:color="auto" w:fill="auto"/>
                  <w:vAlign w:val="center"/>
                </w:tcPr>
                <w:p w:rsidR="00E616B5" w:rsidRPr="00F1612D" w:rsidRDefault="00E616B5" w:rsidP="00C61F97">
                  <w:pPr>
                    <w:jc w:val="center"/>
                    <w:rPr>
                      <w:sz w:val="20"/>
                    </w:rPr>
                  </w:pPr>
                  <w:r w:rsidRPr="00F1612D">
                    <w:rPr>
                      <w:sz w:val="20"/>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8" o:title=""/>
                      </v:shape>
                      <o:OLEObject Type="Embed" ProgID="Equation.3" ShapeID="_x0000_i1025" DrawAspect="Content" ObjectID="_1634547803" r:id="rId9"/>
                    </w:object>
                  </w:r>
                </w:p>
              </w:tc>
              <w:tc>
                <w:tcPr>
                  <w:tcW w:w="5791" w:type="dxa"/>
                  <w:shd w:val="clear" w:color="auto" w:fill="auto"/>
                </w:tcPr>
                <w:p w:rsidR="00E616B5" w:rsidRPr="00F1612D" w:rsidRDefault="00E616B5" w:rsidP="00595527">
                  <w:pPr>
                    <w:rPr>
                      <w:sz w:val="16"/>
                      <w:szCs w:val="16"/>
                      <w:lang w:val="en-US"/>
                    </w:rPr>
                  </w:pPr>
                  <w:r w:rsidRPr="00F1612D">
                    <w:rPr>
                      <w:sz w:val="16"/>
                      <w:szCs w:val="16"/>
                      <w:lang w:val="en-US"/>
                    </w:rPr>
                    <w:t>H</w:t>
                  </w:r>
                  <w:r w:rsidRPr="00F1612D">
                    <w:rPr>
                      <w:sz w:val="16"/>
                      <w:szCs w:val="16"/>
                      <w:lang w:val="en-US"/>
                    </w:rPr>
                    <w:tab/>
                    <w:t>=Honorar 100 %</w:t>
                  </w:r>
                </w:p>
                <w:p w:rsidR="00E616B5" w:rsidRPr="00F1612D" w:rsidRDefault="00E616B5" w:rsidP="00595527">
                  <w:pPr>
                    <w:rPr>
                      <w:sz w:val="16"/>
                      <w:szCs w:val="16"/>
                      <w:lang w:val="en-US"/>
                    </w:rPr>
                  </w:pPr>
                  <w:r w:rsidRPr="00F1612D">
                    <w:rPr>
                      <w:sz w:val="16"/>
                      <w:szCs w:val="16"/>
                      <w:lang w:val="en-US"/>
                    </w:rPr>
                    <w:t>HI-III</w:t>
                  </w:r>
                  <w:r w:rsidRPr="00F1612D">
                    <w:rPr>
                      <w:sz w:val="16"/>
                      <w:szCs w:val="16"/>
                      <w:lang w:val="en-US"/>
                    </w:rPr>
                    <w:tab/>
                    <w:t>=Honorar der Honorarzone I bzw. II bzw. III</w:t>
                  </w:r>
                </w:p>
                <w:p w:rsidR="00E616B5" w:rsidRPr="00F1612D" w:rsidRDefault="00E616B5" w:rsidP="00595527">
                  <w:pPr>
                    <w:rPr>
                      <w:sz w:val="16"/>
                      <w:szCs w:val="16"/>
                    </w:rPr>
                  </w:pPr>
                  <w:r w:rsidRPr="00F1612D">
                    <w:rPr>
                      <w:sz w:val="16"/>
                      <w:szCs w:val="16"/>
                    </w:rPr>
                    <w:t>S</w:t>
                  </w:r>
                  <w:r w:rsidRPr="00F1612D">
                    <w:rPr>
                      <w:sz w:val="16"/>
                      <w:szCs w:val="16"/>
                    </w:rPr>
                    <w:tab/>
                    <w:t>=Summe anrechenbare Kosten</w:t>
                  </w:r>
                </w:p>
                <w:p w:rsidR="00E616B5" w:rsidRPr="00F1612D" w:rsidRDefault="00E616B5" w:rsidP="00595527">
                  <w:pPr>
                    <w:rPr>
                      <w:sz w:val="16"/>
                      <w:szCs w:val="16"/>
                    </w:rPr>
                  </w:pPr>
                  <w:r w:rsidRPr="00F1612D">
                    <w:rPr>
                      <w:sz w:val="16"/>
                      <w:szCs w:val="16"/>
                    </w:rPr>
                    <w:t>S1-3</w:t>
                  </w:r>
                  <w:r w:rsidRPr="00F1612D">
                    <w:rPr>
                      <w:sz w:val="16"/>
                      <w:szCs w:val="16"/>
                    </w:rPr>
                    <w:tab/>
                    <w:t>=anrechenbare Kosten der Anlagen, die der Honorarzone I bzw. II bzw. III zuzuordnen sind</w:t>
                  </w:r>
                </w:p>
              </w:tc>
            </w:tr>
          </w:tbl>
          <w:p w:rsidR="00E616B5" w:rsidRPr="00F1612D" w:rsidRDefault="00E616B5" w:rsidP="00595527">
            <w:pPr>
              <w:rPr>
                <w:sz w:val="20"/>
              </w:rPr>
            </w:pPr>
          </w:p>
          <w:p w:rsidR="00E616B5" w:rsidRPr="00F1612D" w:rsidRDefault="00E616B5" w:rsidP="00595527">
            <w:pPr>
              <w:rPr>
                <w:sz w:val="20"/>
              </w:rPr>
            </w:pPr>
            <w:r w:rsidRPr="00F1612D">
              <w:rPr>
                <w:sz w:val="20"/>
              </w:rPr>
              <w:t>Bei Aufträgen für unterschiedliche Objekte mit mehreren Anlagen, die unter funktionalen und technischen Kriterien eine Einheit bilden, sind die anrechenbaren Kosten der Anlagen jeder Anlagengruppe gemäß § 54 Abs</w:t>
            </w:r>
            <w:r w:rsidR="00A631E3" w:rsidRPr="00F1612D">
              <w:rPr>
                <w:sz w:val="20"/>
              </w:rPr>
              <w:t>.</w:t>
            </w:r>
            <w:r w:rsidRPr="00F1612D">
              <w:rPr>
                <w:sz w:val="20"/>
              </w:rPr>
              <w:t xml:space="preserve"> 2 HOAI zusammenzufassen.</w:t>
            </w:r>
          </w:p>
          <w:p w:rsidR="00A631E3" w:rsidRPr="00F1612D" w:rsidRDefault="00A631E3" w:rsidP="00595527">
            <w:pPr>
              <w:rPr>
                <w:sz w:val="20"/>
              </w:rPr>
            </w:pPr>
          </w:p>
          <w:p w:rsidR="0050279A" w:rsidRPr="00F1612D" w:rsidRDefault="0050279A" w:rsidP="0050279A">
            <w:pPr>
              <w:rPr>
                <w:sz w:val="20"/>
              </w:rPr>
            </w:pPr>
            <w:r w:rsidRPr="00F1612D">
              <w:rPr>
                <w:sz w:val="20"/>
              </w:rPr>
              <w:t>Bei Leistungen im Bestand sind die anrechenbaren Kosten der mitzuverarbeitenden Bausubstanz (mvB) angemessen zu berücksichtigen (§ 4 Abs. 3 HOAI). Die anrechenbaren Kosten der mvB sind im Zuge der Honorarermittlung auf Grundlage der Kostenberechnung und soweit diese noch nicht vorliegt auf Grundlage der Kostenschätzung festzulegen (§ 6 Abs. 1 Nr. 1 HOAI).</w:t>
            </w:r>
          </w:p>
          <w:p w:rsidR="0050279A" w:rsidRPr="00F1612D" w:rsidRDefault="0050279A" w:rsidP="0050279A">
            <w:pPr>
              <w:rPr>
                <w:sz w:val="20"/>
              </w:rPr>
            </w:pPr>
          </w:p>
          <w:p w:rsidR="0050279A" w:rsidRPr="00F1612D" w:rsidRDefault="0050279A" w:rsidP="0050279A">
            <w:pPr>
              <w:rPr>
                <w:rFonts w:cs="Arial"/>
                <w:sz w:val="20"/>
              </w:rPr>
            </w:pPr>
            <w:r w:rsidRPr="00F1612D">
              <w:rPr>
                <w:rFonts w:cs="Arial"/>
                <w:sz w:val="20"/>
              </w:rPr>
              <w:t xml:space="preserve">Im Vertrag können zunächst </w:t>
            </w:r>
            <w:r w:rsidRPr="00F1612D">
              <w:rPr>
                <w:rFonts w:cs="Arial"/>
                <w:b/>
                <w:sz w:val="20"/>
              </w:rPr>
              <w:t>vorläufig ermittelte</w:t>
            </w:r>
            <w:r w:rsidRPr="00F1612D">
              <w:rPr>
                <w:rFonts w:cs="Arial"/>
                <w:sz w:val="20"/>
              </w:rPr>
              <w:t xml:space="preserve"> Kosten angesetzt werden. Sie sind </w:t>
            </w:r>
            <w:r w:rsidRPr="00F1612D">
              <w:rPr>
                <w:rFonts w:cs="Arial"/>
                <w:b/>
                <w:sz w:val="20"/>
              </w:rPr>
              <w:t>endgültig</w:t>
            </w:r>
            <w:r w:rsidRPr="00F1612D">
              <w:rPr>
                <w:rFonts w:cs="Arial"/>
                <w:sz w:val="20"/>
              </w:rPr>
              <w:t xml:space="preserve"> spätestens nach baufachlicher Prüfung und Festsetzung der Kostenberechnung mit Abruf der weiteren Leistungsstufen schriftlich festzulegen.</w:t>
            </w:r>
          </w:p>
          <w:p w:rsidR="0050279A" w:rsidRPr="00F1612D" w:rsidRDefault="0050279A" w:rsidP="0050279A">
            <w:pPr>
              <w:rPr>
                <w:rFonts w:cs="Arial"/>
                <w:sz w:val="20"/>
              </w:rPr>
            </w:pPr>
          </w:p>
          <w:p w:rsidR="00E616B5" w:rsidRPr="00F1612D" w:rsidRDefault="00E616B5" w:rsidP="00595527">
            <w:pPr>
              <w:rPr>
                <w:sz w:val="20"/>
              </w:rPr>
            </w:pPr>
            <w:r w:rsidRPr="00F1612D">
              <w:rPr>
                <w:sz w:val="20"/>
              </w:rPr>
              <w:t xml:space="preserve">Bei der Ermittlung der anrechenbaren Kosten der mvB sind sowohl der Umfang als auch der Wert der mvB zu bestimmen. </w:t>
            </w:r>
          </w:p>
          <w:p w:rsidR="00E616B5" w:rsidRPr="00F1612D" w:rsidRDefault="00E616B5" w:rsidP="00595527">
            <w:pPr>
              <w:rPr>
                <w:sz w:val="20"/>
              </w:rPr>
            </w:pPr>
            <w:r w:rsidRPr="00F1612D">
              <w:rPr>
                <w:sz w:val="20"/>
              </w:rPr>
              <w:t>Bei der Ermittlung des Umfangs der mvB ist nur die Bausubstanz zu berücksichtigen, die auch technisch oder gestalterisch mitverarbeitet wird (§ 2 Abs</w:t>
            </w:r>
            <w:r w:rsidR="00C709F9" w:rsidRPr="00F1612D">
              <w:rPr>
                <w:sz w:val="20"/>
              </w:rPr>
              <w:t>.</w:t>
            </w:r>
            <w:r w:rsidRPr="00F1612D">
              <w:rPr>
                <w:sz w:val="20"/>
              </w:rPr>
              <w:t xml:space="preserve"> 7 HOAI).</w:t>
            </w:r>
          </w:p>
          <w:p w:rsidR="00E616B5" w:rsidRPr="00F1612D" w:rsidRDefault="00E616B5" w:rsidP="00595527">
            <w:pPr>
              <w:rPr>
                <w:sz w:val="20"/>
              </w:rPr>
            </w:pPr>
            <w:r w:rsidRPr="00F1612D">
              <w:rPr>
                <w:sz w:val="20"/>
              </w:rPr>
              <w:t xml:space="preserve">Bei der Wertermittlung sind zum einen der </w:t>
            </w:r>
            <w:r w:rsidRPr="00F1612D">
              <w:rPr>
                <w:sz w:val="20"/>
                <w:u w:val="single"/>
              </w:rPr>
              <w:t xml:space="preserve">tatsächliche Erhaltungszustand </w:t>
            </w:r>
            <w:r w:rsidRPr="00F1612D">
              <w:rPr>
                <w:sz w:val="20"/>
              </w:rPr>
              <w:t xml:space="preserve">der Bausubstanz und zum anderen die </w:t>
            </w:r>
            <w:r w:rsidRPr="00F1612D">
              <w:rPr>
                <w:sz w:val="20"/>
                <w:u w:val="single"/>
              </w:rPr>
              <w:t>leistungsbezogene</w:t>
            </w:r>
            <w:r w:rsidRPr="00F1612D">
              <w:rPr>
                <w:sz w:val="20"/>
              </w:rPr>
              <w:t xml:space="preserve"> Berücksichtigung in den einzelnen Leistungsphasen maßgebend.</w:t>
            </w:r>
          </w:p>
          <w:p w:rsidR="0050279A" w:rsidRPr="00F1612D" w:rsidRDefault="0050279A"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lastRenderedPageBreak/>
              <w:t>10.2</w:t>
            </w:r>
          </w:p>
        </w:tc>
        <w:tc>
          <w:tcPr>
            <w:tcW w:w="8505" w:type="dxa"/>
            <w:gridSpan w:val="2"/>
            <w:shd w:val="clear" w:color="auto" w:fill="auto"/>
          </w:tcPr>
          <w:p w:rsidR="00E616B5" w:rsidRPr="00F1612D" w:rsidRDefault="00E616B5" w:rsidP="00595527">
            <w:pPr>
              <w:rPr>
                <w:b/>
                <w:sz w:val="20"/>
              </w:rPr>
            </w:pPr>
            <w:r w:rsidRPr="00F1612D">
              <w:rPr>
                <w:b/>
                <w:sz w:val="20"/>
              </w:rPr>
              <w:t>Honorarzonen</w:t>
            </w:r>
          </w:p>
          <w:p w:rsidR="00E616B5" w:rsidRPr="00F1612D" w:rsidRDefault="00E616B5" w:rsidP="00595527">
            <w:pPr>
              <w:rPr>
                <w:sz w:val="20"/>
              </w:rPr>
            </w:pPr>
            <w:r w:rsidRPr="00F1612D">
              <w:rPr>
                <w:sz w:val="20"/>
              </w:rPr>
              <w:t>Die Honorarzone für das jeweilige Objekt ist gemäß §§ 5 und 56 Abs. 2 bis 6 sowie Anlage 15 Nr. 15.2 HOAI festzulegen. Bei Umbauten und Modernisierungen erfolgt die Festlegung der Honorarzonen gemäß § 6 Abs</w:t>
            </w:r>
            <w:r w:rsidR="00C709F9" w:rsidRPr="00F1612D">
              <w:rPr>
                <w:sz w:val="20"/>
              </w:rPr>
              <w:t>.</w:t>
            </w:r>
            <w:r w:rsidRPr="00F1612D">
              <w:rPr>
                <w:sz w:val="20"/>
              </w:rPr>
              <w:t xml:space="preserve"> 2 in Verbindung mit § 56 Abs</w:t>
            </w:r>
            <w:r w:rsidR="00C709F9" w:rsidRPr="00F1612D">
              <w:rPr>
                <w:sz w:val="20"/>
              </w:rPr>
              <w:t>.</w:t>
            </w:r>
            <w:r w:rsidRPr="00F1612D">
              <w:rPr>
                <w:sz w:val="20"/>
              </w:rPr>
              <w:t xml:space="preserve"> 5 HOAI. Bei Instandsetzungen und Instandhaltungen gelten die Regelungen des § 12 HOAI.</w:t>
            </w:r>
          </w:p>
          <w:p w:rsidR="0050279A" w:rsidRPr="00F1612D" w:rsidRDefault="0050279A" w:rsidP="0050279A">
            <w:pPr>
              <w:rPr>
                <w:rFonts w:cs="Arial"/>
                <w:sz w:val="20"/>
              </w:rPr>
            </w:pPr>
            <w:r w:rsidRPr="00F1612D">
              <w:rPr>
                <w:rFonts w:cs="Arial"/>
                <w:sz w:val="20"/>
              </w:rPr>
              <w:t>Die Gründe für die Festlegungen sind in der Dokumentation darzustellen.</w:t>
            </w:r>
          </w:p>
          <w:p w:rsidR="0050279A" w:rsidRPr="00F1612D" w:rsidRDefault="0050279A"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10.3</w:t>
            </w:r>
          </w:p>
        </w:tc>
        <w:tc>
          <w:tcPr>
            <w:tcW w:w="8505" w:type="dxa"/>
            <w:gridSpan w:val="2"/>
            <w:shd w:val="clear" w:color="auto" w:fill="auto"/>
          </w:tcPr>
          <w:p w:rsidR="00E616B5" w:rsidRPr="00F1612D" w:rsidRDefault="00E616B5" w:rsidP="00595527">
            <w:pPr>
              <w:rPr>
                <w:b/>
                <w:sz w:val="20"/>
              </w:rPr>
            </w:pPr>
            <w:r w:rsidRPr="00F1612D">
              <w:rPr>
                <w:b/>
                <w:sz w:val="20"/>
              </w:rPr>
              <w:t>Honorarsatz</w:t>
            </w:r>
          </w:p>
          <w:p w:rsidR="00E616B5" w:rsidRPr="00F1612D" w:rsidRDefault="00E616B5" w:rsidP="00595527">
            <w:pPr>
              <w:rPr>
                <w:sz w:val="20"/>
              </w:rPr>
            </w:pPr>
            <w:r w:rsidRPr="00F1612D">
              <w:rPr>
                <w:sz w:val="20"/>
              </w:rPr>
              <w:t xml:space="preserve">Wenn an die zu übertragenden Aufgaben, die dem Schwierigkeitsgrad der Honorarzone entsprechenden, Mindestanforderungen gestellt werden, ist </w:t>
            </w:r>
            <w:r w:rsidR="00FC5BFA">
              <w:rPr>
                <w:sz w:val="20"/>
              </w:rPr>
              <w:t xml:space="preserve">als Grundlage für die Honorarberechnung </w:t>
            </w:r>
            <w:r w:rsidRPr="00F1612D">
              <w:rPr>
                <w:sz w:val="20"/>
              </w:rPr>
              <w:t xml:space="preserve">der Mindestsatz </w:t>
            </w:r>
            <w:r w:rsidR="00FC5BFA">
              <w:rPr>
                <w:sz w:val="20"/>
              </w:rPr>
              <w:t>anzusetzen</w:t>
            </w:r>
            <w:r w:rsidRPr="00F1612D">
              <w:rPr>
                <w:sz w:val="20"/>
              </w:rPr>
              <w:t>.</w:t>
            </w:r>
          </w:p>
          <w:p w:rsidR="00E616B5" w:rsidRPr="00F1612D" w:rsidRDefault="00E616B5" w:rsidP="00FC5BFA">
            <w:pPr>
              <w:rPr>
                <w:sz w:val="20"/>
              </w:rPr>
            </w:pPr>
            <w:r w:rsidRPr="00F1612D">
              <w:rPr>
                <w:sz w:val="20"/>
              </w:rPr>
              <w:t xml:space="preserve">Ein höherer </w:t>
            </w:r>
            <w:r w:rsidR="00FC5BFA">
              <w:rPr>
                <w:sz w:val="20"/>
              </w:rPr>
              <w:t>Honorarsatz kann sich insbesondere aus folgenden</w:t>
            </w:r>
            <w:r w:rsidRPr="00F1612D">
              <w:rPr>
                <w:sz w:val="20"/>
              </w:rPr>
              <w:t xml:space="preserve"> Anforderungen </w:t>
            </w:r>
            <w:r w:rsidR="00FC5BFA">
              <w:rPr>
                <w:sz w:val="20"/>
              </w:rPr>
              <w:t>rechtfertigen</w:t>
            </w:r>
            <w:r w:rsidRPr="00F1612D">
              <w:rPr>
                <w:sz w:val="20"/>
              </w:rPr>
              <w:t>, die den Bearbeitungsaufwand erhöhen und die nicht schon in anderer Weise vergütet werden. Als solche Anforderungen kommen u.a. in Betracht:</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595527">
            <w:pPr>
              <w:rPr>
                <w:sz w:val="20"/>
              </w:rPr>
            </w:pPr>
            <w:r w:rsidRPr="00F1612D">
              <w:rPr>
                <w:sz w:val="20"/>
              </w:rPr>
              <w:t>Beteiligung und Koordinierung einer Vielzahl von Bedarfsträgern,</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595527">
            <w:pPr>
              <w:rPr>
                <w:sz w:val="20"/>
              </w:rPr>
            </w:pPr>
            <w:r w:rsidRPr="00F1612D">
              <w:rPr>
                <w:sz w:val="20"/>
              </w:rPr>
              <w:t>außergewöhnliche kurze Planungs- und Bauzeiten,</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595527">
            <w:pPr>
              <w:rPr>
                <w:sz w:val="20"/>
              </w:rPr>
            </w:pPr>
            <w:r w:rsidRPr="00F1612D">
              <w:rPr>
                <w:sz w:val="20"/>
              </w:rPr>
              <w:t>Planung und Durchführung bei laufenden Betrieb,</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595527">
            <w:pPr>
              <w:rPr>
                <w:sz w:val="20"/>
              </w:rPr>
            </w:pPr>
            <w:r w:rsidRPr="00F1612D">
              <w:rPr>
                <w:sz w:val="20"/>
              </w:rPr>
              <w:t>besondere ausführungstechnische Anforderungen (z.B. Sichtinstallation auch als Gestaltungselemente)</w:t>
            </w:r>
            <w:r w:rsidR="00DA12FE">
              <w:rPr>
                <w:sz w:val="20"/>
              </w:rPr>
              <w:t>,</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284093" w:rsidRDefault="00E616B5" w:rsidP="00B07D07">
            <w:pPr>
              <w:rPr>
                <w:sz w:val="20"/>
              </w:rPr>
            </w:pPr>
            <w:r w:rsidRPr="00F1612D">
              <w:rPr>
                <w:sz w:val="20"/>
              </w:rPr>
              <w:t xml:space="preserve">besondere Anforderungen an technische Einrichtungen und Installationen </w:t>
            </w:r>
            <w:r w:rsidR="00B07D07" w:rsidRPr="00F1612D">
              <w:rPr>
                <w:sz w:val="20"/>
              </w:rPr>
              <w:t>bei</w:t>
            </w:r>
            <w:r w:rsidRPr="00F1612D">
              <w:rPr>
                <w:sz w:val="20"/>
              </w:rPr>
              <w:t xml:space="preserve"> denkmalgeschützten </w:t>
            </w:r>
            <w:r w:rsidR="00B07D07" w:rsidRPr="00F1612D">
              <w:rPr>
                <w:sz w:val="20"/>
              </w:rPr>
              <w:t>Anlagen</w:t>
            </w:r>
          </w:p>
          <w:p w:rsidR="00284093" w:rsidRPr="00F1612D" w:rsidRDefault="00284093" w:rsidP="00B07D0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10.4</w:t>
            </w:r>
          </w:p>
        </w:tc>
        <w:tc>
          <w:tcPr>
            <w:tcW w:w="8505" w:type="dxa"/>
            <w:gridSpan w:val="2"/>
            <w:shd w:val="clear" w:color="auto" w:fill="auto"/>
          </w:tcPr>
          <w:p w:rsidR="00E616B5" w:rsidRPr="00F1612D" w:rsidRDefault="00E616B5" w:rsidP="00595527">
            <w:pPr>
              <w:rPr>
                <w:b/>
                <w:sz w:val="20"/>
              </w:rPr>
            </w:pPr>
            <w:r w:rsidRPr="00F1612D">
              <w:rPr>
                <w:b/>
                <w:sz w:val="20"/>
              </w:rPr>
              <w:t>Vom-Hundert-Sätze</w:t>
            </w:r>
          </w:p>
          <w:p w:rsidR="00E616B5" w:rsidRPr="00F1612D" w:rsidRDefault="00E616B5" w:rsidP="00595527">
            <w:pPr>
              <w:rPr>
                <w:sz w:val="20"/>
              </w:rPr>
            </w:pPr>
            <w:r w:rsidRPr="00F1612D">
              <w:rPr>
                <w:sz w:val="20"/>
              </w:rPr>
              <w:t>Die genannten Summen der v.H.-Sätze für die jeweiligen Leistungsstufen dürfen nicht überschritten werden, soweit sich nicht eine höhere Bewertung aus der Beauftragung der Vorplanung, der Entwurfsplanung oder der Objektüberwachung als Einzelleistungen gemäß § 9 Abs</w:t>
            </w:r>
            <w:r w:rsidR="00C709F9" w:rsidRPr="00F1612D">
              <w:rPr>
                <w:sz w:val="20"/>
              </w:rPr>
              <w:t>.</w:t>
            </w:r>
            <w:r w:rsidRPr="00F1612D">
              <w:rPr>
                <w:sz w:val="20"/>
              </w:rPr>
              <w:t xml:space="preserve"> 1 oder Abs</w:t>
            </w:r>
            <w:r w:rsidR="00C709F9" w:rsidRPr="00F1612D">
              <w:rPr>
                <w:sz w:val="20"/>
              </w:rPr>
              <w:t>.</w:t>
            </w:r>
            <w:r w:rsidRPr="00F1612D">
              <w:rPr>
                <w:sz w:val="20"/>
              </w:rPr>
              <w:t xml:space="preserve"> 3 HOAI ergibt. Eine höhere Bewertung kann sich ergeben, wenn im besonderen Ausnahmefall (z.B. beim Auslandsbau) Leistungen, die dem öffentlichen Auftraggeber obliegen, an den Auftragnehmer übertragen werden.</w:t>
            </w:r>
          </w:p>
          <w:p w:rsidR="00A97B18" w:rsidRPr="00F1612D" w:rsidRDefault="00A97B18" w:rsidP="00DE61AF">
            <w:pPr>
              <w:rPr>
                <w:sz w:val="20"/>
              </w:rPr>
            </w:pPr>
          </w:p>
        </w:tc>
      </w:tr>
      <w:tr w:rsidR="00DE61AF" w:rsidRPr="00F1612D" w:rsidTr="005D697D">
        <w:trPr>
          <w:cantSplit/>
        </w:trPr>
        <w:tc>
          <w:tcPr>
            <w:tcW w:w="1172" w:type="dxa"/>
            <w:shd w:val="clear" w:color="auto" w:fill="auto"/>
          </w:tcPr>
          <w:p w:rsidR="00DE61AF" w:rsidRPr="00F1612D" w:rsidRDefault="00DE61AF" w:rsidP="00595527">
            <w:pPr>
              <w:rPr>
                <w:b/>
                <w:sz w:val="20"/>
              </w:rPr>
            </w:pPr>
          </w:p>
        </w:tc>
        <w:tc>
          <w:tcPr>
            <w:tcW w:w="8505" w:type="dxa"/>
            <w:gridSpan w:val="2"/>
            <w:shd w:val="clear" w:color="auto" w:fill="auto"/>
          </w:tcPr>
          <w:p w:rsidR="00DE61AF" w:rsidRPr="00F1612D" w:rsidRDefault="00DE61AF" w:rsidP="00DE61AF">
            <w:pPr>
              <w:rPr>
                <w:rFonts w:cs="Arial"/>
                <w:sz w:val="20"/>
              </w:rPr>
            </w:pPr>
            <w:r w:rsidRPr="00F1612D">
              <w:rPr>
                <w:rFonts w:cs="Arial"/>
                <w:sz w:val="20"/>
              </w:rPr>
              <w:t>Die v.H.-Sätze der jeweiligen Grundleistungen sind Vorschläge zur Orientierung.</w:t>
            </w:r>
          </w:p>
          <w:p w:rsidR="00DE61AF" w:rsidRPr="00F1612D" w:rsidRDefault="00DE61AF" w:rsidP="00595527">
            <w:pPr>
              <w:rPr>
                <w:b/>
                <w:sz w:val="20"/>
              </w:rPr>
            </w:pPr>
          </w:p>
        </w:tc>
      </w:tr>
      <w:tr w:rsidR="00DE61AF" w:rsidRPr="00F1612D" w:rsidTr="005D697D">
        <w:trPr>
          <w:cantSplit/>
        </w:trPr>
        <w:tc>
          <w:tcPr>
            <w:tcW w:w="1172" w:type="dxa"/>
            <w:shd w:val="clear" w:color="auto" w:fill="auto"/>
          </w:tcPr>
          <w:p w:rsidR="00DE61AF" w:rsidRPr="00F1612D" w:rsidRDefault="00DE61AF" w:rsidP="00595527">
            <w:pPr>
              <w:rPr>
                <w:b/>
                <w:sz w:val="20"/>
              </w:rPr>
            </w:pPr>
          </w:p>
        </w:tc>
        <w:tc>
          <w:tcPr>
            <w:tcW w:w="8505" w:type="dxa"/>
            <w:gridSpan w:val="2"/>
            <w:shd w:val="clear" w:color="auto" w:fill="auto"/>
          </w:tcPr>
          <w:p w:rsidR="00DE61AF" w:rsidRPr="00F1612D" w:rsidRDefault="00DE61AF" w:rsidP="00DE61AF">
            <w:pPr>
              <w:rPr>
                <w:rFonts w:cs="Arial"/>
                <w:sz w:val="20"/>
              </w:rPr>
            </w:pPr>
            <w:r w:rsidRPr="00F1612D">
              <w:rPr>
                <w:rFonts w:cs="Arial"/>
                <w:sz w:val="20"/>
              </w:rPr>
              <w:t>Soweit bei der Bewertung abgerufener Grundleistungen Abschläge für Leistungen vorzunehmen sind, die dem Auftraggeber entsprechend den Festlegungen in § 6 des Vertrages obliegen, sind in Nr. 2 dieser Richtlinie zu Anlage VII.11.2.Wa entsprechende Vorgaben zusammengestellt.</w:t>
            </w:r>
          </w:p>
          <w:p w:rsidR="00DE61AF" w:rsidRPr="00F1612D" w:rsidRDefault="00DE61AF" w:rsidP="00595527">
            <w:pPr>
              <w:rPr>
                <w:b/>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10.5</w:t>
            </w:r>
          </w:p>
        </w:tc>
        <w:tc>
          <w:tcPr>
            <w:tcW w:w="8505" w:type="dxa"/>
            <w:gridSpan w:val="2"/>
            <w:shd w:val="clear" w:color="auto" w:fill="auto"/>
          </w:tcPr>
          <w:p w:rsidR="00E616B5" w:rsidRPr="00F1612D" w:rsidRDefault="00E616B5" w:rsidP="00595527">
            <w:pPr>
              <w:rPr>
                <w:b/>
                <w:sz w:val="20"/>
              </w:rPr>
            </w:pPr>
            <w:r w:rsidRPr="00F1612D">
              <w:rPr>
                <w:b/>
                <w:sz w:val="20"/>
              </w:rPr>
              <w:t>Honorarzuschläge – Bauen im Bestand</w:t>
            </w:r>
          </w:p>
          <w:p w:rsidR="00A97B18" w:rsidRPr="00F1612D" w:rsidRDefault="00E616B5" w:rsidP="00A97B18">
            <w:pPr>
              <w:rPr>
                <w:rFonts w:cs="Arial"/>
                <w:sz w:val="20"/>
              </w:rPr>
            </w:pPr>
            <w:r w:rsidRPr="00F1612D">
              <w:rPr>
                <w:sz w:val="20"/>
              </w:rPr>
              <w:t>Honorarzuschläge für Umbauten und Modernisierungen (§</w:t>
            </w:r>
            <w:r w:rsidR="00EB700D" w:rsidRPr="00F1612D">
              <w:rPr>
                <w:sz w:val="20"/>
              </w:rPr>
              <w:t xml:space="preserve"> </w:t>
            </w:r>
            <w:r w:rsidRPr="00F1612D">
              <w:rPr>
                <w:sz w:val="20"/>
              </w:rPr>
              <w:t>56 Abs</w:t>
            </w:r>
            <w:r w:rsidR="00EC0813" w:rsidRPr="00F1612D">
              <w:rPr>
                <w:sz w:val="20"/>
              </w:rPr>
              <w:t>.</w:t>
            </w:r>
            <w:r w:rsidRPr="00F1612D">
              <w:rPr>
                <w:sz w:val="20"/>
              </w:rPr>
              <w:t xml:space="preserve"> 5 HOAI) oder Instandsetzungen und Instandhaltungen (§ 12 HOAI) sind alternativ anzukreuzen, je nachdem, ob die Voraussetzungen nach §  56 Abs</w:t>
            </w:r>
            <w:r w:rsidR="00EC0813" w:rsidRPr="00F1612D">
              <w:rPr>
                <w:sz w:val="20"/>
              </w:rPr>
              <w:t>.</w:t>
            </w:r>
            <w:r w:rsidRPr="00F1612D">
              <w:rPr>
                <w:sz w:val="20"/>
              </w:rPr>
              <w:t xml:space="preserve"> 5 i.V.m. § 2 Abs. 5 und 6 oder § 12 i.V.m. § 2 Abs. 8 und 9 HOAI vorliegen.</w:t>
            </w:r>
            <w:r w:rsidR="00A97B18" w:rsidRPr="00F1612D">
              <w:rPr>
                <w:rFonts w:cs="Arial"/>
                <w:sz w:val="20"/>
              </w:rPr>
              <w:t xml:space="preserve"> </w:t>
            </w:r>
          </w:p>
          <w:p w:rsidR="00A97B18" w:rsidRPr="00F1612D" w:rsidRDefault="00A97B18" w:rsidP="00A97B18">
            <w:pPr>
              <w:rPr>
                <w:rFonts w:cs="Arial"/>
                <w:sz w:val="20"/>
              </w:rPr>
            </w:pPr>
            <w:r w:rsidRPr="00F1612D">
              <w:rPr>
                <w:rFonts w:cs="Arial"/>
                <w:sz w:val="20"/>
              </w:rPr>
              <w:t>Weitere Richtlinien siehe VIII.B.4 VHF.</w:t>
            </w:r>
          </w:p>
          <w:p w:rsidR="00A97B18" w:rsidRPr="00F1612D" w:rsidRDefault="00A97B18" w:rsidP="00A97B18">
            <w:pPr>
              <w:rPr>
                <w:rFonts w:cs="Arial"/>
                <w:sz w:val="20"/>
              </w:rPr>
            </w:pPr>
            <w:r w:rsidRPr="00F1612D">
              <w:rPr>
                <w:rFonts w:cs="Arial"/>
                <w:sz w:val="20"/>
              </w:rPr>
              <w:t>Wird für einen Umbau einvernehmlich kein Zuschlag vereinbart, ist dies immer schriftlich festzuhalten entsprechend der Textvorgabe.</w:t>
            </w:r>
          </w:p>
          <w:p w:rsidR="00E616B5" w:rsidRPr="00F1612D" w:rsidRDefault="00E616B5"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sz w:val="20"/>
              </w:rPr>
            </w:pPr>
            <w:r w:rsidRPr="00F1612D">
              <w:rPr>
                <w:sz w:val="20"/>
              </w:rPr>
              <w:t>Für Umbauten und Modernisierungen gilt:</w:t>
            </w:r>
          </w:p>
          <w:p w:rsidR="00A97B18" w:rsidRPr="00F1612D" w:rsidRDefault="00A97B18"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595527">
            <w:pPr>
              <w:rPr>
                <w:sz w:val="20"/>
              </w:rPr>
            </w:pPr>
            <w:r w:rsidRPr="00F1612D">
              <w:rPr>
                <w:sz w:val="20"/>
              </w:rPr>
              <w:t>Die Höhe des Zuschlags richtet sich nach dem bei Vertragsabschluss zu erwartenden Schwierigkeitsgrad.</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A97B18">
            <w:pPr>
              <w:rPr>
                <w:sz w:val="20"/>
              </w:rPr>
            </w:pPr>
            <w:r w:rsidRPr="00F1612D">
              <w:rPr>
                <w:sz w:val="20"/>
              </w:rPr>
              <w:t>Sofern keine schriftliche Vereinbarung getroffen wurde, gilt ab einem durchschnittlichen Schwierigkeitsgrad (HZ</w:t>
            </w:r>
            <w:r w:rsidR="00E7435D" w:rsidRPr="00F1612D">
              <w:rPr>
                <w:sz w:val="20"/>
              </w:rPr>
              <w:t xml:space="preserve"> </w:t>
            </w:r>
            <w:r w:rsidRPr="00F1612D">
              <w:rPr>
                <w:sz w:val="20"/>
              </w:rPr>
              <w:t>II) gemäß § 6 Abs</w:t>
            </w:r>
            <w:r w:rsidR="00A97B18" w:rsidRPr="00F1612D">
              <w:rPr>
                <w:sz w:val="20"/>
              </w:rPr>
              <w:t>.</w:t>
            </w:r>
            <w:r w:rsidRPr="00F1612D">
              <w:rPr>
                <w:sz w:val="20"/>
              </w:rPr>
              <w:t xml:space="preserve"> 2 Satz 3 HOAI, 20 v.H. als vereinbart. Da es sich nicht um einen Mindestumbauzuschlag handelt, kann ein hiervon abweichender Umbauzuschlag vereinbart werden. Die Höhe des möglichen Umbauzuschlags wird in § 56 Abs</w:t>
            </w:r>
            <w:r w:rsidR="00A97B18" w:rsidRPr="00F1612D">
              <w:rPr>
                <w:sz w:val="20"/>
              </w:rPr>
              <w:t>.</w:t>
            </w:r>
            <w:r w:rsidRPr="00F1612D">
              <w:rPr>
                <w:sz w:val="20"/>
              </w:rPr>
              <w:t xml:space="preserve"> 5 HOAI konkretisiert.</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r w:rsidRPr="00F1612D">
              <w:rPr>
                <w:sz w:val="20"/>
              </w:rPr>
              <w:t>-</w:t>
            </w:r>
          </w:p>
        </w:tc>
        <w:tc>
          <w:tcPr>
            <w:tcW w:w="7719" w:type="dxa"/>
            <w:shd w:val="clear" w:color="auto" w:fill="auto"/>
          </w:tcPr>
          <w:p w:rsidR="00E616B5" w:rsidRPr="00F1612D" w:rsidRDefault="00E616B5" w:rsidP="00595527">
            <w:pPr>
              <w:rPr>
                <w:sz w:val="20"/>
              </w:rPr>
            </w:pPr>
            <w:r w:rsidRPr="00F1612D">
              <w:rPr>
                <w:sz w:val="20"/>
              </w:rPr>
              <w:t>Für Umbauten und Modernisierungen von Technischer Ausrüstung kann bei Honorarzone II  (durchschnittlicher Schwierigkeitsgrad) ein Zuschlag bis 50 v.H. auf das ermittelte Honorar schriftlich vereinbart werden (§</w:t>
            </w:r>
            <w:r w:rsidR="00A97B18" w:rsidRPr="00F1612D">
              <w:rPr>
                <w:sz w:val="20"/>
              </w:rPr>
              <w:t xml:space="preserve"> </w:t>
            </w:r>
            <w:r w:rsidRPr="00F1612D">
              <w:rPr>
                <w:sz w:val="20"/>
              </w:rPr>
              <w:t>56 Abs</w:t>
            </w:r>
            <w:r w:rsidR="00A97B18" w:rsidRPr="00F1612D">
              <w:rPr>
                <w:sz w:val="20"/>
              </w:rPr>
              <w:t>.</w:t>
            </w:r>
            <w:r w:rsidRPr="00F1612D">
              <w:rPr>
                <w:sz w:val="20"/>
              </w:rPr>
              <w:t xml:space="preserve"> 5 HOAI).</w:t>
            </w:r>
          </w:p>
          <w:p w:rsidR="00E616B5" w:rsidRPr="00F1612D" w:rsidRDefault="00E616B5" w:rsidP="00595527">
            <w:pPr>
              <w:rPr>
                <w:sz w:val="20"/>
              </w:rPr>
            </w:pPr>
            <w:r w:rsidRPr="00F1612D">
              <w:rPr>
                <w:sz w:val="20"/>
              </w:rPr>
              <w:t xml:space="preserve">Damit steht es den Vertragsparteien offen, bei einem anderen Schwierigkeitsgrad der Leistungen, einen niedrigeren oder höheren Zuschlag zu vereinbaren. Die Entscheidung ist </w:t>
            </w:r>
            <w:r w:rsidR="00A97B18" w:rsidRPr="00F1612D">
              <w:rPr>
                <w:sz w:val="20"/>
              </w:rPr>
              <w:t xml:space="preserve">in der Dokumentation </w:t>
            </w:r>
            <w:r w:rsidRPr="00F1612D">
              <w:rPr>
                <w:sz w:val="20"/>
              </w:rPr>
              <w:t>schriftlich zu begründen.</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p>
        </w:tc>
        <w:tc>
          <w:tcPr>
            <w:tcW w:w="7719" w:type="dxa"/>
            <w:shd w:val="clear" w:color="auto" w:fill="auto"/>
          </w:tcPr>
          <w:p w:rsidR="00E616B5" w:rsidRPr="00F1612D" w:rsidRDefault="00E616B5"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sz w:val="20"/>
              </w:rPr>
            </w:pPr>
            <w:r w:rsidRPr="00F1612D">
              <w:rPr>
                <w:sz w:val="20"/>
              </w:rPr>
              <w:t>Bei Instandsetzungen und Instandhaltungen gilt:</w:t>
            </w:r>
          </w:p>
          <w:p w:rsidR="00A97B18" w:rsidRPr="00F1612D" w:rsidRDefault="00A97B18"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786" w:type="dxa"/>
            <w:shd w:val="clear" w:color="auto" w:fill="auto"/>
          </w:tcPr>
          <w:p w:rsidR="00E616B5" w:rsidRPr="00F1612D" w:rsidRDefault="00E616B5" w:rsidP="00595527">
            <w:pPr>
              <w:rPr>
                <w:sz w:val="20"/>
              </w:rPr>
            </w:pPr>
          </w:p>
        </w:tc>
        <w:tc>
          <w:tcPr>
            <w:tcW w:w="7719" w:type="dxa"/>
            <w:shd w:val="clear" w:color="auto" w:fill="auto"/>
          </w:tcPr>
          <w:p w:rsidR="00E616B5" w:rsidRPr="00F1612D" w:rsidRDefault="00E616B5" w:rsidP="00595527">
            <w:pPr>
              <w:rPr>
                <w:sz w:val="20"/>
              </w:rPr>
            </w:pPr>
            <w:r w:rsidRPr="00F1612D">
              <w:rPr>
                <w:sz w:val="20"/>
              </w:rPr>
              <w:t xml:space="preserve">Es kann ein v.H.-Satz für Technische Ausrüstung bis 52,5 v.H. für die Objektüberwachung – Leistungsstufe 4 – vereinbart werden (Erhöhung um 50 v.H. gemäß § 12 HOAI entspricht 35 v.H. zuzüglich 17,5 v.H.). Der Zuschlag ist, sofern eine Vereinbarung getroffen werden soll, bei Vertragsabschluss </w:t>
            </w:r>
            <w:r w:rsidRPr="00F1612D">
              <w:rPr>
                <w:sz w:val="20"/>
                <w:u w:val="single"/>
              </w:rPr>
              <w:t>schriftlich</w:t>
            </w:r>
            <w:r w:rsidRPr="00F1612D">
              <w:rPr>
                <w:sz w:val="20"/>
              </w:rPr>
              <w:t xml:space="preserve"> zu vereinbaren.</w:t>
            </w:r>
          </w:p>
          <w:p w:rsidR="00A97B18" w:rsidRPr="00F1612D" w:rsidRDefault="00A97B18"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10.6</w:t>
            </w:r>
          </w:p>
        </w:tc>
        <w:tc>
          <w:tcPr>
            <w:tcW w:w="8505" w:type="dxa"/>
            <w:gridSpan w:val="2"/>
            <w:shd w:val="clear" w:color="auto" w:fill="auto"/>
          </w:tcPr>
          <w:p w:rsidR="00E616B5" w:rsidRPr="00F1612D" w:rsidRDefault="00E616B5" w:rsidP="00F346C9">
            <w:pPr>
              <w:jc w:val="left"/>
              <w:rPr>
                <w:b/>
                <w:sz w:val="20"/>
              </w:rPr>
            </w:pPr>
            <w:r w:rsidRPr="00F1612D">
              <w:rPr>
                <w:b/>
                <w:sz w:val="20"/>
              </w:rPr>
              <w:t>Mehrere Anlagen gem</w:t>
            </w:r>
            <w:r w:rsidR="00F346C9" w:rsidRPr="00F1612D">
              <w:rPr>
                <w:b/>
                <w:sz w:val="20"/>
              </w:rPr>
              <w:t>.</w:t>
            </w:r>
            <w:r w:rsidRPr="00F1612D">
              <w:rPr>
                <w:b/>
                <w:sz w:val="20"/>
              </w:rPr>
              <w:t xml:space="preserve"> § 54 Abs. 3 HOAI i.V.m. § 11 Abs</w:t>
            </w:r>
            <w:r w:rsidR="00F346C9" w:rsidRPr="00F1612D">
              <w:rPr>
                <w:b/>
                <w:sz w:val="20"/>
              </w:rPr>
              <w:t>.</w:t>
            </w:r>
            <w:r w:rsidRPr="00F1612D">
              <w:rPr>
                <w:b/>
                <w:sz w:val="20"/>
              </w:rPr>
              <w:t xml:space="preserve"> 3 bis 4 HOAI (Wiederholungs</w:t>
            </w:r>
            <w:r w:rsidR="00F346C9" w:rsidRPr="00F1612D">
              <w:rPr>
                <w:b/>
                <w:sz w:val="20"/>
              </w:rPr>
              <w:t>-</w:t>
            </w:r>
            <w:r w:rsidRPr="00F1612D">
              <w:rPr>
                <w:b/>
                <w:sz w:val="20"/>
              </w:rPr>
              <w:t>bauten)</w:t>
            </w:r>
          </w:p>
          <w:p w:rsidR="00E616B5" w:rsidRPr="00F1612D" w:rsidRDefault="00E616B5" w:rsidP="00595527">
            <w:pPr>
              <w:rPr>
                <w:sz w:val="20"/>
              </w:rPr>
            </w:pPr>
            <w:r w:rsidRPr="00F1612D">
              <w:rPr>
                <w:sz w:val="20"/>
              </w:rPr>
              <w:t xml:space="preserve">Umfasst ein Auftrag mehrere im Wesentlichen gleiche Anlagen, die unter weitgehend vergleichbaren Bedingungen für im Wesentlichen gleiche Objekte geplant werden, </w:t>
            </w:r>
            <w:r w:rsidR="00701747" w:rsidRPr="00F1612D">
              <w:rPr>
                <w:sz w:val="20"/>
              </w:rPr>
              <w:t>ist zur Vereinbarung</w:t>
            </w:r>
            <w:r w:rsidRPr="00F1612D">
              <w:rPr>
                <w:sz w:val="20"/>
              </w:rPr>
              <w:t xml:space="preserve"> gemäß § 54 Abs</w:t>
            </w:r>
            <w:r w:rsidR="00701747" w:rsidRPr="00F1612D">
              <w:rPr>
                <w:sz w:val="20"/>
              </w:rPr>
              <w:t>.</w:t>
            </w:r>
            <w:r w:rsidRPr="00F1612D">
              <w:rPr>
                <w:sz w:val="20"/>
              </w:rPr>
              <w:t xml:space="preserve"> 3 i.V.m. § 11 Abs</w:t>
            </w:r>
            <w:r w:rsidR="00701747" w:rsidRPr="00F1612D">
              <w:rPr>
                <w:sz w:val="20"/>
              </w:rPr>
              <w:t>.</w:t>
            </w:r>
            <w:r w:rsidRPr="00F1612D">
              <w:rPr>
                <w:sz w:val="20"/>
              </w:rPr>
              <w:t xml:space="preserve"> 3 HOAI folgende</w:t>
            </w:r>
            <w:r w:rsidR="00701747" w:rsidRPr="00F1612D">
              <w:rPr>
                <w:sz w:val="20"/>
              </w:rPr>
              <w:t>r</w:t>
            </w:r>
            <w:r w:rsidRPr="00F1612D">
              <w:rPr>
                <w:sz w:val="20"/>
              </w:rPr>
              <w:t xml:space="preserve"> </w:t>
            </w:r>
            <w:r w:rsidR="00701747" w:rsidRPr="00F1612D">
              <w:rPr>
                <w:sz w:val="20"/>
              </w:rPr>
              <w:t>Textbaustein einzufügen</w:t>
            </w:r>
            <w:r w:rsidRPr="00F1612D">
              <w:rPr>
                <w:sz w:val="20"/>
              </w:rPr>
              <w:t>:</w:t>
            </w:r>
          </w:p>
          <w:p w:rsidR="00E616B5" w:rsidRPr="00F1612D" w:rsidRDefault="00E616B5" w:rsidP="0070174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701747" w:rsidRPr="00F1612D" w:rsidRDefault="00701747" w:rsidP="00701747">
            <w:pPr>
              <w:rPr>
                <w:rFonts w:cs="Arial"/>
                <w:i/>
                <w:sz w:val="20"/>
              </w:rPr>
            </w:pPr>
            <w:r w:rsidRPr="00F1612D">
              <w:rPr>
                <w:rFonts w:cs="Arial"/>
                <w:i/>
                <w:sz w:val="20"/>
              </w:rPr>
              <w:t>Das Honorar für die Leistungen der Leistungsstufen 1-3  wird wie folgt vereinbart:</w:t>
            </w:r>
          </w:p>
          <w:p w:rsidR="00701747" w:rsidRPr="00F1612D" w:rsidRDefault="00701747" w:rsidP="00701747">
            <w:pPr>
              <w:rPr>
                <w:rFonts w:cs="Arial"/>
                <w:i/>
                <w:sz w:val="20"/>
              </w:rPr>
            </w:pPr>
            <w:r w:rsidRPr="00F1612D">
              <w:rPr>
                <w:rFonts w:cs="Arial"/>
                <w:i/>
                <w:sz w:val="20"/>
              </w:rPr>
              <w:t xml:space="preserve">für die 1.-4. Wiederholung der Anlage </w:t>
            </w:r>
            <w:bookmarkStart w:id="2" w:name="Text4"/>
            <w:r w:rsidRPr="00F1612D">
              <w:rPr>
                <w:rFonts w:cs="Arial"/>
                <w:i/>
                <w:sz w:val="20"/>
              </w:rPr>
              <w:fldChar w:fldCharType="begin">
                <w:ffData>
                  <w:name w:val="Text4"/>
                  <w:enabled/>
                  <w:calcOnExit w:val="0"/>
                  <w:textInput/>
                </w:ffData>
              </w:fldChar>
            </w:r>
            <w:r w:rsidRPr="00F1612D">
              <w:rPr>
                <w:rFonts w:cs="Arial"/>
                <w:i/>
                <w:sz w:val="20"/>
              </w:rPr>
              <w:instrText xml:space="preserve"> FORMTEXT </w:instrText>
            </w:r>
            <w:r w:rsidRPr="00F1612D">
              <w:rPr>
                <w:rFonts w:cs="Arial"/>
                <w:i/>
                <w:sz w:val="20"/>
              </w:rPr>
            </w:r>
            <w:r w:rsidRPr="00F1612D">
              <w:rPr>
                <w:rFonts w:cs="Arial"/>
                <w:i/>
                <w:sz w:val="20"/>
              </w:rPr>
              <w:fldChar w:fldCharType="separate"/>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sz w:val="20"/>
              </w:rPr>
              <w:fldChar w:fldCharType="end"/>
            </w:r>
            <w:bookmarkEnd w:id="2"/>
            <w:r w:rsidRPr="00F1612D">
              <w:rPr>
                <w:rFonts w:cs="Arial"/>
                <w:i/>
                <w:sz w:val="20"/>
              </w:rPr>
              <w:t xml:space="preserve"> = Minderung der Ansätze nach § 10 Nr. 10.4 um 50 % des Honorars</w:t>
            </w:r>
          </w:p>
          <w:p w:rsidR="00701747" w:rsidRPr="00F1612D" w:rsidRDefault="00701747" w:rsidP="00701747">
            <w:pPr>
              <w:rPr>
                <w:rFonts w:cs="Arial"/>
                <w:i/>
                <w:sz w:val="20"/>
              </w:rPr>
            </w:pPr>
            <w:r w:rsidRPr="00F1612D">
              <w:rPr>
                <w:rFonts w:cs="Arial"/>
                <w:i/>
                <w:sz w:val="20"/>
              </w:rPr>
              <w:t xml:space="preserve">für die 5.-7. Wiederholung der Anlage </w:t>
            </w:r>
            <w:bookmarkStart w:id="3" w:name="Text5"/>
            <w:r w:rsidRPr="00F1612D">
              <w:rPr>
                <w:rFonts w:cs="Arial"/>
                <w:i/>
                <w:sz w:val="20"/>
              </w:rPr>
              <w:fldChar w:fldCharType="begin">
                <w:ffData>
                  <w:name w:val="Text5"/>
                  <w:enabled/>
                  <w:calcOnExit w:val="0"/>
                  <w:textInput/>
                </w:ffData>
              </w:fldChar>
            </w:r>
            <w:r w:rsidRPr="00F1612D">
              <w:rPr>
                <w:rFonts w:cs="Arial"/>
                <w:i/>
                <w:sz w:val="20"/>
              </w:rPr>
              <w:instrText xml:space="preserve"> FORMTEXT </w:instrText>
            </w:r>
            <w:r w:rsidRPr="00F1612D">
              <w:rPr>
                <w:rFonts w:cs="Arial"/>
                <w:i/>
                <w:sz w:val="20"/>
              </w:rPr>
            </w:r>
            <w:r w:rsidRPr="00F1612D">
              <w:rPr>
                <w:rFonts w:cs="Arial"/>
                <w:i/>
                <w:sz w:val="20"/>
              </w:rPr>
              <w:fldChar w:fldCharType="separate"/>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sz w:val="20"/>
              </w:rPr>
              <w:fldChar w:fldCharType="end"/>
            </w:r>
            <w:bookmarkEnd w:id="3"/>
            <w:r w:rsidRPr="00F1612D">
              <w:rPr>
                <w:rFonts w:cs="Arial"/>
                <w:i/>
                <w:sz w:val="20"/>
              </w:rPr>
              <w:t xml:space="preserve"> = Minderung der Ansätze nach § 10 Nr. 10.4 um 60 % des Honorars </w:t>
            </w:r>
          </w:p>
          <w:p w:rsidR="00701747" w:rsidRPr="00F1612D" w:rsidRDefault="00701747" w:rsidP="00701747">
            <w:pPr>
              <w:rPr>
                <w:rFonts w:cs="Arial"/>
                <w:i/>
                <w:sz w:val="20"/>
              </w:rPr>
            </w:pPr>
            <w:r w:rsidRPr="00F1612D">
              <w:rPr>
                <w:rFonts w:cs="Arial"/>
                <w:i/>
                <w:sz w:val="20"/>
              </w:rPr>
              <w:t xml:space="preserve">ab der 8. Wiederholung der Anlage </w:t>
            </w:r>
            <w:r w:rsidRPr="00F1612D">
              <w:rPr>
                <w:rFonts w:cs="Arial"/>
                <w:i/>
                <w:sz w:val="20"/>
              </w:rPr>
              <w:fldChar w:fldCharType="begin">
                <w:ffData>
                  <w:name w:val="Text5"/>
                  <w:enabled/>
                  <w:calcOnExit w:val="0"/>
                  <w:textInput/>
                </w:ffData>
              </w:fldChar>
            </w:r>
            <w:r w:rsidRPr="00F1612D">
              <w:rPr>
                <w:rFonts w:cs="Arial"/>
                <w:i/>
                <w:sz w:val="20"/>
              </w:rPr>
              <w:instrText xml:space="preserve"> FORMTEXT </w:instrText>
            </w:r>
            <w:r w:rsidRPr="00F1612D">
              <w:rPr>
                <w:rFonts w:cs="Arial"/>
                <w:i/>
                <w:sz w:val="20"/>
              </w:rPr>
            </w:r>
            <w:r w:rsidRPr="00F1612D">
              <w:rPr>
                <w:rFonts w:cs="Arial"/>
                <w:i/>
                <w:sz w:val="20"/>
              </w:rPr>
              <w:fldChar w:fldCharType="separate"/>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noProof/>
                <w:sz w:val="20"/>
              </w:rPr>
              <w:t> </w:t>
            </w:r>
            <w:r w:rsidRPr="00F1612D">
              <w:rPr>
                <w:rFonts w:cs="Arial"/>
                <w:i/>
                <w:sz w:val="20"/>
              </w:rPr>
              <w:fldChar w:fldCharType="end"/>
            </w:r>
            <w:r w:rsidRPr="00F1612D">
              <w:rPr>
                <w:rFonts w:cs="Arial"/>
                <w:i/>
                <w:sz w:val="20"/>
              </w:rPr>
              <w:t xml:space="preserve"> = Minderung der Ansätze nach § 10 Nr. 10.4 um 90 % des Honorars</w:t>
            </w:r>
          </w:p>
          <w:p w:rsidR="00E616B5" w:rsidRPr="00F1612D" w:rsidRDefault="00E616B5" w:rsidP="0070174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sz w:val="20"/>
              </w:rPr>
            </w:pPr>
            <w:r w:rsidRPr="00F1612D">
              <w:rPr>
                <w:sz w:val="20"/>
              </w:rPr>
              <w:t>Umfasst ein Auftrag im Wesentlichen gleiche Anlagen, die bereits Gegenstand eines anderen Auftrags zwischen den Vertragsparteien waren, so werden die in § 54 Absatz 3 i.V.m. § 11 Absatz 3 festgelegten geminderten v.H.-Sätze der beauftragten Leistungsphasen auch dann angewendet,, wenn die Leistungen nicht im zeitlichen oder örtlichen Zusammenhang erbracht werden (§ 54 Abs</w:t>
            </w:r>
            <w:r w:rsidR="00EC0813" w:rsidRPr="00F1612D">
              <w:rPr>
                <w:sz w:val="20"/>
              </w:rPr>
              <w:t>.</w:t>
            </w:r>
            <w:r w:rsidRPr="00F1612D">
              <w:rPr>
                <w:sz w:val="20"/>
              </w:rPr>
              <w:t xml:space="preserve"> 3 i.V.m. § 11 Abs</w:t>
            </w:r>
            <w:r w:rsidR="00EC0813" w:rsidRPr="00F1612D">
              <w:rPr>
                <w:sz w:val="20"/>
              </w:rPr>
              <w:t>.</w:t>
            </w:r>
            <w:r w:rsidRPr="00F1612D">
              <w:rPr>
                <w:sz w:val="20"/>
              </w:rPr>
              <w:t xml:space="preserve"> 4 HOAI). Im Gegensatz zu § 11 Abs</w:t>
            </w:r>
            <w:r w:rsidR="00EC0813" w:rsidRPr="00F1612D">
              <w:rPr>
                <w:sz w:val="20"/>
              </w:rPr>
              <w:t>.</w:t>
            </w:r>
            <w:r w:rsidRPr="00F1612D">
              <w:rPr>
                <w:sz w:val="20"/>
              </w:rPr>
              <w:t xml:space="preserve"> 3 HOAI greift hier die Minderung des Honorars für alle Objekte, da die erste (vollhonorierte) Planung durch den anderen, früheren Auftrag zwischen den Vertragsparteien abgerechnet wurde.</w:t>
            </w:r>
          </w:p>
          <w:p w:rsidR="00E616B5" w:rsidRPr="00F1612D" w:rsidRDefault="00E616B5" w:rsidP="00EC0813">
            <w:pPr>
              <w:rPr>
                <w:sz w:val="20"/>
              </w:rPr>
            </w:pPr>
            <w:r w:rsidRPr="00F1612D">
              <w:rPr>
                <w:sz w:val="20"/>
              </w:rPr>
              <w:t>Zu der Regelung des § 54 Abs</w:t>
            </w:r>
            <w:r w:rsidR="00EC0813" w:rsidRPr="00F1612D">
              <w:rPr>
                <w:sz w:val="20"/>
              </w:rPr>
              <w:t>.</w:t>
            </w:r>
            <w:r w:rsidRPr="00F1612D">
              <w:rPr>
                <w:sz w:val="20"/>
              </w:rPr>
              <w:t xml:space="preserve"> 2 i.V.m. § 11 Abs</w:t>
            </w:r>
            <w:r w:rsidR="00EC0813" w:rsidRPr="00F1612D">
              <w:rPr>
                <w:sz w:val="20"/>
              </w:rPr>
              <w:t>.</w:t>
            </w:r>
            <w:r w:rsidRPr="00F1612D">
              <w:rPr>
                <w:sz w:val="20"/>
              </w:rPr>
              <w:t xml:space="preserve"> 2 HOAI, der das Zusammenfassen der anrechenbaren Kosten von mehreren vergleichbaren Anlagen betrifft, siehe zu § 10 Nr</w:t>
            </w:r>
            <w:r w:rsidR="00EC0813" w:rsidRPr="00F1612D">
              <w:rPr>
                <w:sz w:val="20"/>
              </w:rPr>
              <w:t>.</w:t>
            </w:r>
            <w:r w:rsidRPr="00F1612D">
              <w:rPr>
                <w:sz w:val="20"/>
              </w:rPr>
              <w:t xml:space="preserve"> 10.1 der Hinweise.</w:t>
            </w:r>
          </w:p>
          <w:p w:rsidR="00DE61AF" w:rsidRPr="00F1612D" w:rsidRDefault="00DE61AF" w:rsidP="00EC0813">
            <w:pPr>
              <w:rPr>
                <w:sz w:val="20"/>
              </w:rPr>
            </w:pPr>
          </w:p>
        </w:tc>
      </w:tr>
      <w:tr w:rsidR="00157B1B" w:rsidRPr="00F1612D" w:rsidTr="005D697D">
        <w:trPr>
          <w:cantSplit/>
        </w:trPr>
        <w:tc>
          <w:tcPr>
            <w:tcW w:w="1172" w:type="dxa"/>
            <w:shd w:val="clear" w:color="auto" w:fill="auto"/>
          </w:tcPr>
          <w:p w:rsidR="00157B1B" w:rsidRPr="00F1612D" w:rsidRDefault="00157B1B" w:rsidP="00595527">
            <w:pPr>
              <w:rPr>
                <w:b/>
                <w:sz w:val="20"/>
              </w:rPr>
            </w:pPr>
            <w:r>
              <w:rPr>
                <w:b/>
                <w:sz w:val="20"/>
              </w:rPr>
              <w:t>10.7</w:t>
            </w:r>
          </w:p>
        </w:tc>
        <w:tc>
          <w:tcPr>
            <w:tcW w:w="8505" w:type="dxa"/>
            <w:gridSpan w:val="2"/>
            <w:shd w:val="clear" w:color="auto" w:fill="auto"/>
          </w:tcPr>
          <w:p w:rsidR="00157B1B" w:rsidRPr="00157B1B" w:rsidRDefault="00157B1B" w:rsidP="00157B1B">
            <w:pPr>
              <w:spacing w:before="80" w:line="276" w:lineRule="auto"/>
              <w:rPr>
                <w:rFonts w:cs="Arial"/>
                <w:sz w:val="20"/>
              </w:rPr>
            </w:pPr>
            <w:r w:rsidRPr="00157B1B">
              <w:rPr>
                <w:rFonts w:cs="Arial"/>
                <w:sz w:val="20"/>
              </w:rPr>
              <w:t xml:space="preserve">Übergangsregelung in Folge des Urteils des EuGH vom 4. Juli 2019 (Rechtssache C-377/17): </w:t>
            </w:r>
          </w:p>
          <w:p w:rsidR="00157B1B" w:rsidRDefault="00157B1B" w:rsidP="00157B1B">
            <w:pPr>
              <w:rPr>
                <w:rFonts w:cs="Arial"/>
                <w:sz w:val="20"/>
              </w:rPr>
            </w:pPr>
            <w:r w:rsidRPr="00157B1B">
              <w:rPr>
                <w:rFonts w:cs="Arial"/>
                <w:sz w:val="20"/>
              </w:rPr>
              <w:t>Das Gesamthonorar für die Grundleistungen kann durch Zu- oder Abschläge gegenüber den insoweit nicht mehr verbindlichen Mindest- oder Höchsthonorarsätzen der HOAI abweichen. Wird hierdurch der Mindesthonorarsatz unterschritten oder der Höchsthonorarsatz überschritten, darf das Angebot mit dieser Begründung nicht von der Wertung ausgeschlossen werden.</w:t>
            </w:r>
          </w:p>
          <w:p w:rsidR="00157B1B" w:rsidRPr="00F1612D" w:rsidRDefault="00157B1B" w:rsidP="00157B1B">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10.9</w:t>
            </w:r>
          </w:p>
        </w:tc>
        <w:tc>
          <w:tcPr>
            <w:tcW w:w="8505" w:type="dxa"/>
            <w:gridSpan w:val="2"/>
            <w:shd w:val="clear" w:color="auto" w:fill="auto"/>
          </w:tcPr>
          <w:p w:rsidR="00E616B5" w:rsidRPr="00F1612D" w:rsidRDefault="00E616B5" w:rsidP="00595527">
            <w:pPr>
              <w:rPr>
                <w:b/>
                <w:sz w:val="20"/>
              </w:rPr>
            </w:pPr>
            <w:r w:rsidRPr="00F1612D">
              <w:rPr>
                <w:b/>
                <w:sz w:val="20"/>
              </w:rPr>
              <w:t>Besondere Leistungen</w:t>
            </w:r>
          </w:p>
          <w:p w:rsidR="00E616B5" w:rsidRPr="00F1612D" w:rsidRDefault="00E616B5" w:rsidP="00EC0813">
            <w:pPr>
              <w:rPr>
                <w:sz w:val="20"/>
              </w:rPr>
            </w:pPr>
            <w:r w:rsidRPr="00F1612D">
              <w:rPr>
                <w:sz w:val="20"/>
              </w:rPr>
              <w:t>Besondere Leistungen werden entweder pauschal bzw. mit den v.H.-Sätzen auf das Honorar nach § 10 Nr</w:t>
            </w:r>
            <w:r w:rsidR="00EC0813" w:rsidRPr="00F1612D">
              <w:rPr>
                <w:sz w:val="20"/>
              </w:rPr>
              <w:t>.</w:t>
            </w:r>
            <w:r w:rsidRPr="00F1612D">
              <w:rPr>
                <w:sz w:val="20"/>
              </w:rPr>
              <w:t xml:space="preserve"> 10.3 vergütet. Die Honorarvereinbarungen sind in der/den Anlage(n) zu § 6 aufzunehmen. Im Vertrag sind lediglich die voraussichtlichen Gesamtsummen pro Leistungsstufe auszuweisen.</w:t>
            </w:r>
          </w:p>
          <w:p w:rsidR="007D3562" w:rsidRPr="00F1612D" w:rsidRDefault="007D3562" w:rsidP="00EC0813">
            <w:pPr>
              <w:rPr>
                <w:sz w:val="20"/>
              </w:rPr>
            </w:pPr>
          </w:p>
        </w:tc>
      </w:tr>
      <w:tr w:rsidR="00E616B5" w:rsidRPr="00F1612D" w:rsidTr="005D697D">
        <w:trPr>
          <w:cantSplit/>
        </w:trPr>
        <w:tc>
          <w:tcPr>
            <w:tcW w:w="1172" w:type="dxa"/>
            <w:shd w:val="clear" w:color="auto" w:fill="auto"/>
          </w:tcPr>
          <w:p w:rsidR="00E616B5" w:rsidRPr="00F1612D" w:rsidRDefault="00E616B5" w:rsidP="00E7435D">
            <w:pPr>
              <w:rPr>
                <w:b/>
                <w:sz w:val="20"/>
              </w:rPr>
            </w:pPr>
            <w:r w:rsidRPr="00F1612D">
              <w:rPr>
                <w:b/>
                <w:sz w:val="20"/>
              </w:rPr>
              <w:t>10.1</w:t>
            </w:r>
            <w:r w:rsidR="00E7435D" w:rsidRPr="00F1612D">
              <w:rPr>
                <w:b/>
                <w:sz w:val="20"/>
              </w:rPr>
              <w:t>1</w:t>
            </w:r>
          </w:p>
        </w:tc>
        <w:tc>
          <w:tcPr>
            <w:tcW w:w="8505" w:type="dxa"/>
            <w:gridSpan w:val="2"/>
            <w:shd w:val="clear" w:color="auto" w:fill="auto"/>
          </w:tcPr>
          <w:p w:rsidR="00E616B5" w:rsidRPr="00F1612D" w:rsidRDefault="00E616B5" w:rsidP="00595527">
            <w:pPr>
              <w:rPr>
                <w:b/>
                <w:sz w:val="20"/>
              </w:rPr>
            </w:pPr>
            <w:r w:rsidRPr="00F1612D">
              <w:rPr>
                <w:b/>
                <w:sz w:val="20"/>
              </w:rPr>
              <w:t>Sonstige / Weitere Vergütungsregelungen</w:t>
            </w:r>
          </w:p>
          <w:p w:rsidR="00E616B5" w:rsidRPr="00F1612D" w:rsidRDefault="00E616B5" w:rsidP="00595527">
            <w:pPr>
              <w:rPr>
                <w:sz w:val="20"/>
              </w:rPr>
            </w:pPr>
            <w:r w:rsidRPr="00F1612D">
              <w:rPr>
                <w:sz w:val="20"/>
              </w:rPr>
              <w:t>Hier können sonstige weitere Vergütungsregelungen, wie z.B. im Falle des § 8 HOAI, aufgenommen werden.</w:t>
            </w:r>
          </w:p>
          <w:p w:rsidR="0036148C" w:rsidRPr="00F1612D" w:rsidRDefault="0036148C" w:rsidP="00595527">
            <w:pPr>
              <w:rPr>
                <w:sz w:val="20"/>
              </w:rPr>
            </w:pPr>
          </w:p>
        </w:tc>
      </w:tr>
      <w:tr w:rsidR="00E616B5" w:rsidRPr="00F1612D" w:rsidTr="005D697D">
        <w:trPr>
          <w:cantSplit/>
        </w:trPr>
        <w:tc>
          <w:tcPr>
            <w:tcW w:w="1172" w:type="dxa"/>
            <w:shd w:val="clear" w:color="auto" w:fill="auto"/>
          </w:tcPr>
          <w:p w:rsidR="00E616B5" w:rsidRPr="00F1612D" w:rsidRDefault="00E616B5" w:rsidP="00595527">
            <w:pPr>
              <w:rPr>
                <w:b/>
                <w:sz w:val="20"/>
              </w:rPr>
            </w:pPr>
            <w:r w:rsidRPr="00F1612D">
              <w:rPr>
                <w:b/>
                <w:sz w:val="20"/>
              </w:rPr>
              <w:t>Zu § 11</w:t>
            </w:r>
          </w:p>
          <w:p w:rsidR="00E616B5" w:rsidRPr="00F1612D" w:rsidRDefault="00E616B5" w:rsidP="00595527">
            <w:pPr>
              <w:rPr>
                <w:b/>
                <w:sz w:val="20"/>
              </w:rPr>
            </w:pPr>
            <w:r w:rsidRPr="00F1612D">
              <w:rPr>
                <w:b/>
                <w:sz w:val="20"/>
              </w:rPr>
              <w:t>11.1</w:t>
            </w:r>
          </w:p>
        </w:tc>
        <w:tc>
          <w:tcPr>
            <w:tcW w:w="8505" w:type="dxa"/>
            <w:gridSpan w:val="2"/>
            <w:shd w:val="clear" w:color="auto" w:fill="auto"/>
          </w:tcPr>
          <w:p w:rsidR="00E616B5" w:rsidRPr="00F1612D" w:rsidRDefault="00E616B5" w:rsidP="00595527">
            <w:pPr>
              <w:rPr>
                <w:b/>
                <w:sz w:val="20"/>
              </w:rPr>
            </w:pPr>
            <w:r w:rsidRPr="00F1612D">
              <w:rPr>
                <w:b/>
                <w:sz w:val="20"/>
              </w:rPr>
              <w:t>Nebenkosten</w:t>
            </w:r>
          </w:p>
          <w:p w:rsidR="00E616B5" w:rsidRPr="00F1612D" w:rsidRDefault="00E616B5" w:rsidP="0036148C">
            <w:pPr>
              <w:rPr>
                <w:sz w:val="20"/>
              </w:rPr>
            </w:pPr>
            <w:r w:rsidRPr="00F1612D">
              <w:rPr>
                <w:sz w:val="20"/>
              </w:rPr>
              <w:t xml:space="preserve">Die Vereinbarung einer Pauschale ist grundsätzlich anzustreben; die ihr zugrunde gelegten Einzelansätze sind </w:t>
            </w:r>
            <w:r w:rsidR="0036148C" w:rsidRPr="00F1612D">
              <w:rPr>
                <w:sz w:val="20"/>
              </w:rPr>
              <w:t>in der Dokumentation</w:t>
            </w:r>
            <w:r w:rsidRPr="00F1612D">
              <w:rPr>
                <w:sz w:val="20"/>
              </w:rPr>
              <w:t xml:space="preserve"> festzuhalten. </w:t>
            </w:r>
          </w:p>
        </w:tc>
      </w:tr>
      <w:tr w:rsidR="00E616B5" w:rsidRPr="00F1612D" w:rsidTr="005D697D">
        <w:trPr>
          <w:cantSplit/>
        </w:trPr>
        <w:tc>
          <w:tcPr>
            <w:tcW w:w="1172" w:type="dxa"/>
            <w:shd w:val="clear" w:color="auto" w:fill="auto"/>
          </w:tcPr>
          <w:p w:rsidR="00E616B5" w:rsidRPr="00F1612D" w:rsidRDefault="00E616B5" w:rsidP="00595527">
            <w:pPr>
              <w:rPr>
                <w:b/>
                <w:sz w:val="20"/>
              </w:rPr>
            </w:pPr>
          </w:p>
        </w:tc>
        <w:tc>
          <w:tcPr>
            <w:tcW w:w="8505" w:type="dxa"/>
            <w:gridSpan w:val="2"/>
            <w:shd w:val="clear" w:color="auto" w:fill="auto"/>
          </w:tcPr>
          <w:p w:rsidR="00E616B5" w:rsidRPr="00F1612D" w:rsidRDefault="00E616B5" w:rsidP="00595527">
            <w:pPr>
              <w:rPr>
                <w:sz w:val="20"/>
              </w:rPr>
            </w:pPr>
            <w:r w:rsidRPr="00F1612D">
              <w:rPr>
                <w:sz w:val="20"/>
              </w:rPr>
              <w:t>Soweit vereinbart wird, dass die Nebenkosten nicht erstattet werden, liegt darin keine unzulässige Mindestsatzunterschreitung.</w:t>
            </w:r>
          </w:p>
          <w:p w:rsidR="0036148C" w:rsidRPr="00F1612D" w:rsidRDefault="0036148C" w:rsidP="00595527">
            <w:pPr>
              <w:rPr>
                <w:sz w:val="20"/>
              </w:rPr>
            </w:pPr>
          </w:p>
        </w:tc>
      </w:tr>
    </w:tbl>
    <w:tbl>
      <w:tblPr>
        <w:tblStyle w:val="Tabellenraster"/>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58"/>
        <w:gridCol w:w="8511"/>
      </w:tblGrid>
      <w:tr w:rsidR="0036148C" w:rsidRPr="00F1612D" w:rsidTr="00A530E9">
        <w:tc>
          <w:tcPr>
            <w:tcW w:w="1158" w:type="dxa"/>
          </w:tcPr>
          <w:p w:rsidR="0036148C" w:rsidRPr="00F1612D" w:rsidRDefault="0036148C" w:rsidP="0028127F">
            <w:pPr>
              <w:rPr>
                <w:rFonts w:cs="Arial"/>
                <w:b/>
                <w:color w:val="000000"/>
                <w:sz w:val="20"/>
              </w:rPr>
            </w:pPr>
            <w:r w:rsidRPr="00F1612D">
              <w:rPr>
                <w:rFonts w:cs="Arial"/>
                <w:b/>
                <w:sz w:val="20"/>
              </w:rPr>
              <w:t>11.3</w:t>
            </w:r>
          </w:p>
        </w:tc>
        <w:tc>
          <w:tcPr>
            <w:tcW w:w="8511" w:type="dxa"/>
          </w:tcPr>
          <w:p w:rsidR="0036148C" w:rsidRPr="00F1612D" w:rsidRDefault="0036148C" w:rsidP="0036148C">
            <w:pPr>
              <w:ind w:right="-24"/>
              <w:rPr>
                <w:rFonts w:cs="Arial"/>
                <w:sz w:val="20"/>
              </w:rPr>
            </w:pPr>
            <w:r w:rsidRPr="00F1612D">
              <w:rPr>
                <w:rFonts w:cs="Arial"/>
                <w:sz w:val="20"/>
              </w:rPr>
              <w:t>Der Vorsteuerabzug gemäß § 14 Abs.</w:t>
            </w:r>
            <w:r w:rsidR="00CD02FA" w:rsidRPr="00F1612D">
              <w:rPr>
                <w:rFonts w:cs="Arial"/>
                <w:sz w:val="20"/>
              </w:rPr>
              <w:t xml:space="preserve"> </w:t>
            </w:r>
            <w:r w:rsidRPr="00F1612D">
              <w:rPr>
                <w:rFonts w:cs="Arial"/>
                <w:sz w:val="20"/>
              </w:rPr>
              <w:t>1 HOAI ist bei der Ermittlung/Erstattung der Nebenkosten nach § 15 Abs. 1 UStG in Höhe von z. Zt. 15,97 v.H. vorzunehmen bei:</w:t>
            </w:r>
          </w:p>
          <w:p w:rsidR="0036148C" w:rsidRPr="00F1612D" w:rsidRDefault="0036148C" w:rsidP="0036148C">
            <w:pPr>
              <w:ind w:right="-24"/>
              <w:rPr>
                <w:rFonts w:cs="Arial"/>
                <w:sz w:val="20"/>
              </w:rPr>
            </w:pPr>
            <w:r w:rsidRPr="00F1612D">
              <w:rPr>
                <w:rFonts w:cs="Arial"/>
                <w:sz w:val="20"/>
              </w:rPr>
              <w:t>- Vervielfältigungskosten</w:t>
            </w:r>
          </w:p>
          <w:p w:rsidR="0036148C" w:rsidRPr="00F1612D" w:rsidRDefault="0036148C" w:rsidP="0036148C">
            <w:pPr>
              <w:ind w:right="-24"/>
              <w:rPr>
                <w:rFonts w:cs="Arial"/>
                <w:sz w:val="20"/>
              </w:rPr>
            </w:pPr>
            <w:r w:rsidRPr="00F1612D">
              <w:rPr>
                <w:rFonts w:cs="Arial"/>
                <w:sz w:val="20"/>
              </w:rPr>
              <w:t>- Telefonkosten</w:t>
            </w:r>
          </w:p>
          <w:p w:rsidR="0036148C" w:rsidRPr="00F1612D" w:rsidRDefault="0036148C" w:rsidP="0036148C">
            <w:pPr>
              <w:ind w:right="-24"/>
              <w:rPr>
                <w:rFonts w:cs="Arial"/>
                <w:sz w:val="20"/>
              </w:rPr>
            </w:pPr>
            <w:r w:rsidRPr="00F1612D">
              <w:rPr>
                <w:rFonts w:cs="Arial"/>
                <w:sz w:val="20"/>
              </w:rPr>
              <w:t>- Kosten für Bus, Bahn, Flugzeug und Taxi</w:t>
            </w:r>
          </w:p>
          <w:p w:rsidR="0036148C" w:rsidRPr="00F1612D" w:rsidRDefault="0036148C" w:rsidP="0036148C">
            <w:pPr>
              <w:ind w:right="-24"/>
              <w:rPr>
                <w:rFonts w:cs="Arial"/>
                <w:color w:val="000000"/>
                <w:sz w:val="20"/>
              </w:rPr>
            </w:pPr>
            <w:r w:rsidRPr="00F1612D">
              <w:rPr>
                <w:rFonts w:cs="Arial"/>
                <w:sz w:val="20"/>
              </w:rPr>
              <w:t>-</w:t>
            </w:r>
            <w:r w:rsidR="007D3562" w:rsidRPr="00F1612D">
              <w:rPr>
                <w:rFonts w:cs="Arial"/>
                <w:sz w:val="20"/>
              </w:rPr>
              <w:t> </w:t>
            </w:r>
            <w:r w:rsidRPr="00F1612D">
              <w:rPr>
                <w:rFonts w:cs="Arial"/>
                <w:sz w:val="20"/>
              </w:rPr>
              <w:t>bei sonstigen Kosten nur, soweit hierfür die Abrechnung nach nachgewiesenen und tatsächlichen Kosten vereinbart sind</w:t>
            </w:r>
          </w:p>
        </w:tc>
      </w:tr>
      <w:tr w:rsidR="00A530E9" w:rsidRPr="00F1612D" w:rsidTr="00A530E9">
        <w:tc>
          <w:tcPr>
            <w:tcW w:w="1158" w:type="dxa"/>
          </w:tcPr>
          <w:p w:rsidR="00A530E9" w:rsidRPr="00F1612D" w:rsidRDefault="00A530E9" w:rsidP="0028127F">
            <w:pPr>
              <w:rPr>
                <w:rFonts w:cs="Arial"/>
                <w:b/>
                <w:sz w:val="20"/>
              </w:rPr>
            </w:pPr>
          </w:p>
        </w:tc>
        <w:tc>
          <w:tcPr>
            <w:tcW w:w="8511" w:type="dxa"/>
          </w:tcPr>
          <w:p w:rsidR="00A530E9" w:rsidRPr="00F1612D" w:rsidRDefault="00A530E9" w:rsidP="0036148C">
            <w:pPr>
              <w:ind w:right="-24"/>
              <w:rPr>
                <w:rFonts w:cs="Arial"/>
                <w:sz w:val="20"/>
              </w:rPr>
            </w:pPr>
          </w:p>
        </w:tc>
      </w:tr>
      <w:tr w:rsidR="00A37B69" w:rsidRPr="00F1612D" w:rsidTr="00A530E9">
        <w:tc>
          <w:tcPr>
            <w:tcW w:w="1157" w:type="dxa"/>
          </w:tcPr>
          <w:p w:rsidR="00A37B69" w:rsidRPr="00F1612D" w:rsidRDefault="00A37B69" w:rsidP="005075E9">
            <w:pPr>
              <w:jc w:val="left"/>
              <w:rPr>
                <w:rFonts w:cs="Arial"/>
                <w:b/>
                <w:sz w:val="20"/>
              </w:rPr>
            </w:pPr>
            <w:r w:rsidRPr="00F1612D">
              <w:rPr>
                <w:rFonts w:cs="Arial"/>
                <w:b/>
                <w:sz w:val="20"/>
              </w:rPr>
              <w:t>Zu § 13</w:t>
            </w:r>
            <w:r w:rsidRPr="00F1612D">
              <w:rPr>
                <w:rFonts w:cs="Arial"/>
                <w:b/>
                <w:sz w:val="20"/>
              </w:rPr>
              <w:br/>
            </w:r>
          </w:p>
        </w:tc>
        <w:tc>
          <w:tcPr>
            <w:tcW w:w="8510" w:type="dxa"/>
          </w:tcPr>
          <w:p w:rsidR="00A37B69" w:rsidRPr="00F1612D" w:rsidRDefault="00A37B69" w:rsidP="0028127F">
            <w:pPr>
              <w:rPr>
                <w:rFonts w:cs="Arial"/>
                <w:sz w:val="20"/>
              </w:rPr>
            </w:pPr>
            <w:r w:rsidRPr="00F1612D">
              <w:rPr>
                <w:rFonts w:cs="Arial"/>
                <w:b/>
                <w:sz w:val="20"/>
              </w:rPr>
              <w:t>Haftpflichtversicherung</w:t>
            </w:r>
          </w:p>
          <w:p w:rsidR="00A37B69" w:rsidRPr="00F1612D" w:rsidRDefault="00A37B69" w:rsidP="0028127F">
            <w:pPr>
              <w:rPr>
                <w:rFonts w:cs="Arial"/>
                <w:sz w:val="20"/>
              </w:rPr>
            </w:pPr>
            <w:r w:rsidRPr="00F1612D">
              <w:rPr>
                <w:rFonts w:cs="Arial"/>
                <w:sz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p w:rsidR="00A37B69" w:rsidRPr="00F1612D" w:rsidRDefault="000C1D6E" w:rsidP="0028127F">
            <w:pPr>
              <w:rPr>
                <w:rFonts w:cs="Arial"/>
                <w:sz w:val="20"/>
              </w:rPr>
            </w:pPr>
            <w:r w:rsidRPr="00F1612D">
              <w:rPr>
                <w:rFonts w:cs="Arial"/>
                <w:sz w:val="20"/>
              </w:rPr>
              <w:t xml:space="preserve">Als </w:t>
            </w:r>
            <w:r w:rsidR="00A37B69" w:rsidRPr="00F1612D">
              <w:rPr>
                <w:rFonts w:cs="Arial"/>
                <w:sz w:val="20"/>
              </w:rPr>
              <w:t xml:space="preserve">Deckungssummen (Grunddeckung) sind </w:t>
            </w:r>
            <w:r w:rsidR="007D3562" w:rsidRPr="00F1612D">
              <w:rPr>
                <w:rFonts w:cs="Arial"/>
                <w:sz w:val="20"/>
              </w:rPr>
              <w:t xml:space="preserve">in </w:t>
            </w:r>
            <w:r w:rsidRPr="00F1612D">
              <w:rPr>
                <w:rFonts w:cs="Arial"/>
                <w:sz w:val="20"/>
              </w:rPr>
              <w:t>der Regel vorzusehen</w:t>
            </w:r>
            <w:r w:rsidR="00A37B69" w:rsidRPr="00F1612D">
              <w:rPr>
                <w:rFonts w:cs="Arial"/>
                <w:sz w:val="20"/>
              </w:rPr>
              <w:t>:</w:t>
            </w:r>
          </w:p>
          <w:p w:rsidR="000C1D6E" w:rsidRPr="00F1612D" w:rsidRDefault="000C1D6E" w:rsidP="000C1D6E">
            <w:pPr>
              <w:rPr>
                <w:rFonts w:cs="Arial"/>
                <w:sz w:val="20"/>
              </w:rPr>
            </w:pPr>
          </w:p>
          <w:p w:rsidR="000C1D6E" w:rsidRPr="00F1612D" w:rsidRDefault="000C1D6E" w:rsidP="000C1D6E">
            <w:pPr>
              <w:tabs>
                <w:tab w:val="left" w:pos="5080"/>
              </w:tabs>
              <w:rPr>
                <w:rFonts w:cs="Arial"/>
                <w:sz w:val="20"/>
              </w:rPr>
            </w:pPr>
            <w:r w:rsidRPr="00F1612D">
              <w:rPr>
                <w:rFonts w:cs="Arial"/>
                <w:sz w:val="20"/>
              </w:rPr>
              <w:t>für Personenschäden:</w:t>
            </w:r>
            <w:r w:rsidRPr="00F1612D">
              <w:rPr>
                <w:rFonts w:cs="Arial"/>
                <w:sz w:val="20"/>
              </w:rPr>
              <w:tab/>
              <w:t>1.500.000 Euro</w:t>
            </w:r>
          </w:p>
          <w:p w:rsidR="00A37B69" w:rsidRPr="00F1612D" w:rsidRDefault="000C1D6E" w:rsidP="000C1D6E">
            <w:pPr>
              <w:tabs>
                <w:tab w:val="left" w:pos="5080"/>
              </w:tabs>
              <w:rPr>
                <w:rFonts w:cs="Arial"/>
                <w:sz w:val="20"/>
              </w:rPr>
            </w:pPr>
            <w:r w:rsidRPr="00F1612D">
              <w:rPr>
                <w:rFonts w:cs="Arial"/>
                <w:sz w:val="20"/>
              </w:rPr>
              <w:t>für sonstige Schäden (Vermögens- und Sachschäden):</w:t>
            </w:r>
            <w:r w:rsidRPr="00F1612D">
              <w:rPr>
                <w:rFonts w:cs="Arial"/>
                <w:sz w:val="20"/>
              </w:rPr>
              <w:tab/>
              <w:t>1.500.000 Euro</w:t>
            </w:r>
          </w:p>
          <w:p w:rsidR="00A37B69" w:rsidRPr="00F1612D" w:rsidRDefault="00A37B69" w:rsidP="0028127F">
            <w:pPr>
              <w:rPr>
                <w:rFonts w:cs="Arial"/>
                <w:sz w:val="20"/>
              </w:rPr>
            </w:pPr>
          </w:p>
          <w:p w:rsidR="00A37B69" w:rsidRPr="00F1612D" w:rsidRDefault="00A37B69" w:rsidP="0028127F">
            <w:pPr>
              <w:rPr>
                <w:rFonts w:cs="Arial"/>
                <w:sz w:val="20"/>
              </w:rPr>
            </w:pPr>
            <w:r w:rsidRPr="00F1612D">
              <w:rPr>
                <w:rFonts w:cs="Arial"/>
                <w:sz w:val="20"/>
                <w:u w:val="single"/>
              </w:rPr>
              <w:t>Hinweis:</w:t>
            </w:r>
            <w:r w:rsidRPr="00F1612D">
              <w:rPr>
                <w:rFonts w:cs="Arial"/>
                <w:sz w:val="20"/>
              </w:rPr>
              <w:t xml:space="preserve"> die Berufsordnungen der Bayer. Architektenkammer- und der Bayer.  Ingenieurekammer Bau sehen folgende Mindestversicherungssummen vor:</w:t>
            </w:r>
          </w:p>
          <w:p w:rsidR="00A37B69" w:rsidRPr="00F1612D" w:rsidRDefault="00A37B69" w:rsidP="0028127F">
            <w:pPr>
              <w:rPr>
                <w:rFonts w:cs="Arial"/>
                <w:sz w:val="20"/>
              </w:rPr>
            </w:pPr>
          </w:p>
          <w:tbl>
            <w:tblPr>
              <w:tblStyle w:val="Tabellenraster"/>
              <w:tblW w:w="7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16"/>
              <w:gridCol w:w="2127"/>
              <w:gridCol w:w="2126"/>
            </w:tblGrid>
            <w:tr w:rsidR="00A37B69" w:rsidRPr="00F1612D" w:rsidTr="0028127F">
              <w:trPr>
                <w:trHeight w:val="311"/>
              </w:trPr>
              <w:tc>
                <w:tcPr>
                  <w:tcW w:w="3716" w:type="dxa"/>
                  <w:tcBorders>
                    <w:top w:val="single" w:sz="2" w:space="0" w:color="808080"/>
                    <w:left w:val="single" w:sz="2" w:space="0" w:color="808080"/>
                    <w:bottom w:val="single" w:sz="2" w:space="0" w:color="808080"/>
                    <w:right w:val="single" w:sz="2" w:space="0" w:color="808080"/>
                  </w:tcBorders>
                  <w:vAlign w:val="center"/>
                </w:tcPr>
                <w:p w:rsidR="00A37B69" w:rsidRPr="00F1612D" w:rsidRDefault="00A37B69" w:rsidP="0028127F">
                  <w:pPr>
                    <w:rPr>
                      <w:rFonts w:cs="Arial"/>
                      <w:sz w:val="20"/>
                    </w:rPr>
                  </w:pPr>
                  <w:r w:rsidRPr="00F1612D">
                    <w:rPr>
                      <w:rFonts w:cs="Arial"/>
                      <w:sz w:val="20"/>
                    </w:rPr>
                    <w:t>Architekten</w:t>
                  </w:r>
                </w:p>
              </w:tc>
              <w:tc>
                <w:tcPr>
                  <w:tcW w:w="2127" w:type="dxa"/>
                  <w:tcBorders>
                    <w:top w:val="single" w:sz="2" w:space="0" w:color="808080"/>
                    <w:left w:val="single" w:sz="2" w:space="0" w:color="808080"/>
                    <w:bottom w:val="single" w:sz="2" w:space="0" w:color="808080"/>
                    <w:right w:val="single" w:sz="2" w:space="0" w:color="808080"/>
                  </w:tcBorders>
                  <w:vAlign w:val="center"/>
                </w:tcPr>
                <w:p w:rsidR="00A37B69" w:rsidRPr="00F1612D" w:rsidRDefault="00A37B69" w:rsidP="0028127F">
                  <w:pPr>
                    <w:jc w:val="right"/>
                    <w:rPr>
                      <w:rFonts w:cs="Arial"/>
                      <w:sz w:val="20"/>
                    </w:rPr>
                  </w:pPr>
                  <w:r w:rsidRPr="00F1612D">
                    <w:rPr>
                      <w:rFonts w:cs="Arial"/>
                      <w:sz w:val="20"/>
                    </w:rPr>
                    <w:t>1.500.000 €</w:t>
                  </w:r>
                </w:p>
              </w:tc>
              <w:tc>
                <w:tcPr>
                  <w:tcW w:w="2126" w:type="dxa"/>
                  <w:tcBorders>
                    <w:top w:val="single" w:sz="2" w:space="0" w:color="808080"/>
                    <w:left w:val="single" w:sz="2" w:space="0" w:color="808080"/>
                    <w:bottom w:val="single" w:sz="2" w:space="0" w:color="808080"/>
                    <w:right w:val="single" w:sz="2" w:space="0" w:color="808080"/>
                  </w:tcBorders>
                  <w:vAlign w:val="center"/>
                </w:tcPr>
                <w:p w:rsidR="00A37B69" w:rsidRPr="00F1612D" w:rsidRDefault="00A37B69" w:rsidP="0028127F">
                  <w:pPr>
                    <w:jc w:val="right"/>
                    <w:rPr>
                      <w:rFonts w:cs="Arial"/>
                      <w:sz w:val="20"/>
                    </w:rPr>
                  </w:pPr>
                  <w:r w:rsidRPr="00F1612D">
                    <w:rPr>
                      <w:rFonts w:cs="Arial"/>
                      <w:sz w:val="20"/>
                    </w:rPr>
                    <w:t>200.000 €</w:t>
                  </w:r>
                </w:p>
              </w:tc>
            </w:tr>
            <w:tr w:rsidR="00A37B69" w:rsidRPr="00F1612D" w:rsidTr="0028127F">
              <w:trPr>
                <w:trHeight w:val="340"/>
              </w:trPr>
              <w:tc>
                <w:tcPr>
                  <w:tcW w:w="3716" w:type="dxa"/>
                  <w:tcBorders>
                    <w:top w:val="single" w:sz="2" w:space="0" w:color="808080"/>
                    <w:left w:val="single" w:sz="2" w:space="0" w:color="808080"/>
                    <w:bottom w:val="single" w:sz="2" w:space="0" w:color="808080"/>
                    <w:right w:val="single" w:sz="2" w:space="0" w:color="808080"/>
                  </w:tcBorders>
                  <w:vAlign w:val="center"/>
                </w:tcPr>
                <w:p w:rsidR="00A37B69" w:rsidRPr="00F1612D" w:rsidRDefault="00A37B69" w:rsidP="0028127F">
                  <w:pPr>
                    <w:rPr>
                      <w:rFonts w:cs="Arial"/>
                      <w:sz w:val="20"/>
                    </w:rPr>
                  </w:pPr>
                  <w:r w:rsidRPr="00F1612D">
                    <w:rPr>
                      <w:rFonts w:cs="Arial"/>
                      <w:sz w:val="20"/>
                    </w:rPr>
                    <w:t>Ingenieure</w:t>
                  </w:r>
                </w:p>
              </w:tc>
              <w:tc>
                <w:tcPr>
                  <w:tcW w:w="2127" w:type="dxa"/>
                  <w:tcBorders>
                    <w:top w:val="single" w:sz="2" w:space="0" w:color="808080"/>
                    <w:left w:val="single" w:sz="2" w:space="0" w:color="808080"/>
                    <w:bottom w:val="single" w:sz="2" w:space="0" w:color="808080"/>
                    <w:right w:val="single" w:sz="2" w:space="0" w:color="808080"/>
                  </w:tcBorders>
                  <w:vAlign w:val="center"/>
                </w:tcPr>
                <w:p w:rsidR="00A37B69" w:rsidRPr="00F1612D" w:rsidRDefault="00A37B69" w:rsidP="0028127F">
                  <w:pPr>
                    <w:jc w:val="right"/>
                    <w:rPr>
                      <w:rFonts w:cs="Arial"/>
                      <w:sz w:val="20"/>
                    </w:rPr>
                  </w:pPr>
                  <w:r w:rsidRPr="00F1612D">
                    <w:rPr>
                      <w:rFonts w:cs="Arial"/>
                      <w:sz w:val="20"/>
                    </w:rPr>
                    <w:t>250.000 €</w:t>
                  </w:r>
                </w:p>
              </w:tc>
              <w:tc>
                <w:tcPr>
                  <w:tcW w:w="2126" w:type="dxa"/>
                  <w:tcBorders>
                    <w:top w:val="single" w:sz="2" w:space="0" w:color="808080"/>
                    <w:left w:val="single" w:sz="2" w:space="0" w:color="808080"/>
                    <w:bottom w:val="single" w:sz="2" w:space="0" w:color="808080"/>
                    <w:right w:val="single" w:sz="2" w:space="0" w:color="808080"/>
                  </w:tcBorders>
                  <w:vAlign w:val="center"/>
                </w:tcPr>
                <w:p w:rsidR="00A37B69" w:rsidRPr="00F1612D" w:rsidRDefault="00A37B69" w:rsidP="0028127F">
                  <w:pPr>
                    <w:jc w:val="right"/>
                    <w:rPr>
                      <w:rFonts w:cs="Arial"/>
                      <w:sz w:val="20"/>
                    </w:rPr>
                  </w:pPr>
                  <w:r w:rsidRPr="00F1612D">
                    <w:rPr>
                      <w:rFonts w:cs="Arial"/>
                      <w:sz w:val="20"/>
                    </w:rPr>
                    <w:t>250.000 €</w:t>
                  </w:r>
                </w:p>
              </w:tc>
            </w:tr>
          </w:tbl>
          <w:p w:rsidR="00A37B69" w:rsidRPr="00F1612D" w:rsidRDefault="00A37B69" w:rsidP="0028127F">
            <w:pPr>
              <w:rPr>
                <w:rFonts w:cs="Arial"/>
                <w:sz w:val="20"/>
              </w:rPr>
            </w:pPr>
          </w:p>
          <w:p w:rsidR="00A37B69" w:rsidRPr="00F1612D" w:rsidRDefault="00A37B69" w:rsidP="0028127F">
            <w:pPr>
              <w:rPr>
                <w:rFonts w:cs="Arial"/>
                <w:sz w:val="20"/>
              </w:rPr>
            </w:pPr>
            <w:r w:rsidRPr="00F1612D">
              <w:rPr>
                <w:rFonts w:cs="Arial"/>
                <w:sz w:val="20"/>
              </w:rPr>
              <w:t xml:space="preserve">Sind im Einzelfall ausnahmsweise bei erhöhtem individuellem Schadensrisiko höhere </w:t>
            </w:r>
            <w:r w:rsidRPr="00F1612D">
              <w:rPr>
                <w:rFonts w:cs="Arial"/>
                <w:sz w:val="20"/>
              </w:rPr>
              <w:lastRenderedPageBreak/>
              <w:t xml:space="preserve">Deckungssummen erforderlich, ist dies in der Dokumentation zu begründen. </w:t>
            </w:r>
          </w:p>
          <w:p w:rsidR="00A37B69" w:rsidRPr="00F1612D" w:rsidRDefault="00A37B69" w:rsidP="0028127F">
            <w:pPr>
              <w:rPr>
                <w:rFonts w:cs="Arial"/>
                <w:sz w:val="20"/>
              </w:rPr>
            </w:pPr>
          </w:p>
          <w:p w:rsidR="00A37B69" w:rsidRPr="00F1612D" w:rsidRDefault="00A37B69" w:rsidP="0028127F">
            <w:pPr>
              <w:rPr>
                <w:rFonts w:cs="Arial"/>
                <w:sz w:val="20"/>
              </w:rPr>
            </w:pPr>
            <w:r w:rsidRPr="00F1612D">
              <w:rPr>
                <w:rFonts w:cs="Arial"/>
                <w:sz w:val="20"/>
              </w:rPr>
              <w:t>Der AN kann einen über die Grunddeckung bzw. seine  Basisversicherung hinausgehenden erforderlichen Versicherungsschutz durch Abschluss einer Objektversicherung oder einer Exzedenten-(Berufshaftpflicht</w:t>
            </w:r>
            <w:r w:rsidR="00061BD3" w:rsidRPr="00F1612D">
              <w:rPr>
                <w:rFonts w:cs="Arial"/>
                <w:sz w:val="20"/>
              </w:rPr>
              <w:t>-V</w:t>
            </w:r>
            <w:r w:rsidRPr="00F1612D">
              <w:rPr>
                <w:rFonts w:cs="Arial"/>
                <w:sz w:val="20"/>
              </w:rPr>
              <w:t>ersicherung nachweisen.</w:t>
            </w:r>
          </w:p>
          <w:p w:rsidR="00A37B69" w:rsidRPr="00F1612D" w:rsidRDefault="00A37B69" w:rsidP="0028127F">
            <w:pPr>
              <w:rPr>
                <w:rFonts w:cs="Arial"/>
                <w:sz w:val="20"/>
              </w:rPr>
            </w:pPr>
          </w:p>
        </w:tc>
      </w:tr>
    </w:tbl>
    <w:tbl>
      <w:tblPr>
        <w:tblW w:w="9677" w:type="dxa"/>
        <w:tblLayout w:type="fixed"/>
        <w:tblLook w:val="01E0" w:firstRow="1" w:lastRow="1" w:firstColumn="1" w:lastColumn="1" w:noHBand="0" w:noVBand="0"/>
      </w:tblPr>
      <w:tblGrid>
        <w:gridCol w:w="1172"/>
        <w:gridCol w:w="8505"/>
      </w:tblGrid>
      <w:tr w:rsidR="00E616B5" w:rsidRPr="00F1612D" w:rsidTr="005D697D">
        <w:trPr>
          <w:cantSplit/>
        </w:trPr>
        <w:tc>
          <w:tcPr>
            <w:tcW w:w="1172" w:type="dxa"/>
            <w:shd w:val="clear" w:color="auto" w:fill="auto"/>
          </w:tcPr>
          <w:p w:rsidR="00E616B5" w:rsidRPr="00F1612D" w:rsidRDefault="00A37B69" w:rsidP="00595527">
            <w:pPr>
              <w:rPr>
                <w:b/>
                <w:sz w:val="20"/>
              </w:rPr>
            </w:pPr>
            <w:r w:rsidRPr="00F1612D">
              <w:rPr>
                <w:b/>
                <w:sz w:val="20"/>
              </w:rPr>
              <w:lastRenderedPageBreak/>
              <w:t>Zu § 15</w:t>
            </w:r>
          </w:p>
          <w:p w:rsidR="00E616B5" w:rsidRPr="00F1612D" w:rsidRDefault="00E616B5" w:rsidP="00A37B69">
            <w:pPr>
              <w:rPr>
                <w:b/>
                <w:sz w:val="20"/>
              </w:rPr>
            </w:pPr>
            <w:r w:rsidRPr="00F1612D">
              <w:rPr>
                <w:b/>
                <w:sz w:val="20"/>
              </w:rPr>
              <w:t>1</w:t>
            </w:r>
            <w:r w:rsidR="00A37B69" w:rsidRPr="00F1612D">
              <w:rPr>
                <w:b/>
                <w:sz w:val="20"/>
              </w:rPr>
              <w:t>5</w:t>
            </w:r>
            <w:r w:rsidRPr="00F1612D">
              <w:rPr>
                <w:b/>
                <w:sz w:val="20"/>
              </w:rPr>
              <w:t>.1</w:t>
            </w:r>
          </w:p>
        </w:tc>
        <w:tc>
          <w:tcPr>
            <w:tcW w:w="8505" w:type="dxa"/>
            <w:shd w:val="clear" w:color="auto" w:fill="auto"/>
          </w:tcPr>
          <w:p w:rsidR="00A37B69" w:rsidRPr="00F1612D" w:rsidRDefault="00E616B5" w:rsidP="00A37B69">
            <w:pPr>
              <w:rPr>
                <w:b/>
                <w:sz w:val="20"/>
              </w:rPr>
            </w:pPr>
            <w:r w:rsidRPr="00F1612D">
              <w:rPr>
                <w:b/>
                <w:sz w:val="20"/>
              </w:rPr>
              <w:t>Ergänzende Vereinbarungen</w:t>
            </w:r>
          </w:p>
          <w:p w:rsidR="00A37B69" w:rsidRPr="00F1612D" w:rsidRDefault="00A37B69" w:rsidP="00A37B69">
            <w:pPr>
              <w:rPr>
                <w:b/>
                <w:sz w:val="20"/>
              </w:rPr>
            </w:pPr>
            <w:r w:rsidRPr="00F1612D">
              <w:rPr>
                <w:rFonts w:cs="Arial"/>
                <w:b/>
                <w:sz w:val="20"/>
              </w:rPr>
              <w:t>Verpflichtung nach dem Verpflichtungsgesetz</w:t>
            </w:r>
          </w:p>
          <w:p w:rsidR="00A37B69" w:rsidRPr="00F1612D" w:rsidRDefault="00A37B69" w:rsidP="00A37B69">
            <w:pPr>
              <w:rPr>
                <w:rFonts w:cs="Arial"/>
                <w:sz w:val="20"/>
              </w:rPr>
            </w:pPr>
            <w:r w:rsidRPr="00F1612D">
              <w:rPr>
                <w:rFonts w:cs="Arial"/>
                <w:sz w:val="20"/>
              </w:rPr>
              <w:t xml:space="preserve">Aufgrund Nr. 7.1.5 Satz 4 KorruR vom 13.04.2004 sind alle privaten Leistungserbringer nach dem Verpflichtungsgesetz zu verpflichten.  Hierfür ist dem Vertrag schon im Entwurf die Verpflichtungserklärung (VI.11 VHF) beizufügen und als Anlage zum Vertrag zu nehmen. Siehe auch die </w:t>
            </w:r>
            <w:r w:rsidR="005075E9" w:rsidRPr="00F1612D">
              <w:rPr>
                <w:rFonts w:cs="Arial"/>
                <w:sz w:val="20"/>
              </w:rPr>
              <w:t>Richtlini</w:t>
            </w:r>
            <w:r w:rsidRPr="00F1612D">
              <w:rPr>
                <w:rFonts w:cs="Arial"/>
                <w:sz w:val="20"/>
              </w:rPr>
              <w:t>e in VI.11.1 VHF.</w:t>
            </w:r>
          </w:p>
          <w:p w:rsidR="00E616B5" w:rsidRPr="00F1612D" w:rsidRDefault="00E616B5" w:rsidP="00595527">
            <w:pPr>
              <w:rPr>
                <w:sz w:val="20"/>
              </w:rPr>
            </w:pPr>
          </w:p>
        </w:tc>
      </w:tr>
      <w:tr w:rsidR="00E616B5" w:rsidRPr="00F1612D" w:rsidTr="005D697D">
        <w:trPr>
          <w:cantSplit/>
        </w:trPr>
        <w:tc>
          <w:tcPr>
            <w:tcW w:w="1172" w:type="dxa"/>
            <w:shd w:val="clear" w:color="auto" w:fill="auto"/>
          </w:tcPr>
          <w:p w:rsidR="00E616B5" w:rsidRPr="00F1612D" w:rsidRDefault="00E616B5" w:rsidP="00A37B69">
            <w:pPr>
              <w:rPr>
                <w:b/>
                <w:sz w:val="20"/>
              </w:rPr>
            </w:pPr>
            <w:r w:rsidRPr="00F1612D">
              <w:rPr>
                <w:b/>
                <w:sz w:val="20"/>
              </w:rPr>
              <w:t>1</w:t>
            </w:r>
            <w:r w:rsidR="00A37B69" w:rsidRPr="00F1612D">
              <w:rPr>
                <w:b/>
                <w:sz w:val="20"/>
              </w:rPr>
              <w:t>5</w:t>
            </w:r>
            <w:r w:rsidRPr="00F1612D">
              <w:rPr>
                <w:b/>
                <w:sz w:val="20"/>
              </w:rPr>
              <w:t>.3</w:t>
            </w:r>
          </w:p>
        </w:tc>
        <w:tc>
          <w:tcPr>
            <w:tcW w:w="8505" w:type="dxa"/>
            <w:shd w:val="clear" w:color="auto" w:fill="auto"/>
          </w:tcPr>
          <w:p w:rsidR="00E616B5" w:rsidRPr="00F1612D" w:rsidRDefault="00E616B5" w:rsidP="00595527">
            <w:pPr>
              <w:rPr>
                <w:sz w:val="20"/>
              </w:rPr>
            </w:pPr>
            <w:r w:rsidRPr="00F1612D">
              <w:rPr>
                <w:sz w:val="20"/>
              </w:rPr>
              <w:t>Hier können weitere vertragliche Regelungen, z.B. Vertragstrafen, urheberrechtliche Regelungen bei der Beauftragung eines Preisträgers oder Sonderregelungen beim Urheberrecht bei Muster- und Standardplanungen vereinbart werden.</w:t>
            </w:r>
          </w:p>
        </w:tc>
      </w:tr>
    </w:tbl>
    <w:p w:rsidR="00B14EBE" w:rsidRPr="00F1612D" w:rsidRDefault="00B14EBE"/>
    <w:p w:rsidR="00B14EBE" w:rsidRPr="00F1612D" w:rsidRDefault="00B14EBE"/>
    <w:p w:rsidR="00956450" w:rsidRPr="00F1612D" w:rsidRDefault="00956450"/>
    <w:p w:rsidR="00B14EBE" w:rsidRPr="00F1612D" w:rsidRDefault="00B14EBE" w:rsidP="00B14EBE">
      <w:pPr>
        <w:widowControl/>
        <w:numPr>
          <w:ilvl w:val="0"/>
          <w:numId w:val="37"/>
        </w:numPr>
        <w:tabs>
          <w:tab w:val="clear" w:pos="780"/>
          <w:tab w:val="num" w:pos="350"/>
        </w:tabs>
        <w:ind w:hanging="766"/>
        <w:rPr>
          <w:rFonts w:cs="Arial"/>
          <w:b/>
          <w:sz w:val="22"/>
          <w:szCs w:val="22"/>
        </w:rPr>
      </w:pPr>
      <w:r w:rsidRPr="00F1612D">
        <w:rPr>
          <w:rFonts w:cs="Arial"/>
          <w:b/>
          <w:sz w:val="22"/>
          <w:szCs w:val="22"/>
        </w:rPr>
        <w:t>Richtlinie zur Anlage VII.</w:t>
      </w:r>
      <w:r w:rsidR="000C1D6E" w:rsidRPr="00F1612D">
        <w:rPr>
          <w:rFonts w:cs="Arial"/>
          <w:b/>
          <w:sz w:val="22"/>
          <w:szCs w:val="22"/>
        </w:rPr>
        <w:t>11</w:t>
      </w:r>
      <w:r w:rsidRPr="00F1612D">
        <w:rPr>
          <w:rFonts w:cs="Arial"/>
          <w:b/>
          <w:sz w:val="22"/>
          <w:szCs w:val="22"/>
        </w:rPr>
        <w:t>.2</w:t>
      </w:r>
      <w:r w:rsidR="000C1D6E" w:rsidRPr="00F1612D">
        <w:rPr>
          <w:rFonts w:cs="Arial"/>
          <w:b/>
          <w:sz w:val="22"/>
          <w:szCs w:val="22"/>
        </w:rPr>
        <w:t>.Wa</w:t>
      </w:r>
      <w:r w:rsidRPr="00F1612D">
        <w:rPr>
          <w:rFonts w:cs="Arial"/>
          <w:b/>
          <w:sz w:val="22"/>
          <w:szCs w:val="22"/>
        </w:rPr>
        <w:t xml:space="preserve"> zu § 6</w:t>
      </w:r>
    </w:p>
    <w:p w:rsidR="00B14EBE" w:rsidRPr="00F1612D" w:rsidRDefault="00B14EBE"/>
    <w:p w:rsidR="00B14EBE" w:rsidRPr="00F1612D" w:rsidRDefault="00B14EBE"/>
    <w:tbl>
      <w:tblPr>
        <w:tblW w:w="9677" w:type="dxa"/>
        <w:tblLayout w:type="fixed"/>
        <w:tblLook w:val="01E0" w:firstRow="1" w:lastRow="1" w:firstColumn="1" w:lastColumn="1" w:noHBand="0" w:noVBand="0"/>
      </w:tblPr>
      <w:tblGrid>
        <w:gridCol w:w="1172"/>
        <w:gridCol w:w="8505"/>
      </w:tblGrid>
      <w:tr w:rsidR="00B14EBE" w:rsidRPr="00F1612D" w:rsidTr="005D697D">
        <w:trPr>
          <w:cantSplit/>
        </w:trPr>
        <w:tc>
          <w:tcPr>
            <w:tcW w:w="1172" w:type="dxa"/>
            <w:shd w:val="clear" w:color="auto" w:fill="auto"/>
          </w:tcPr>
          <w:p w:rsidR="00B14EBE" w:rsidRPr="00F1612D" w:rsidRDefault="00B14EBE" w:rsidP="00595527">
            <w:pPr>
              <w:rPr>
                <w:b/>
                <w:sz w:val="20"/>
              </w:rPr>
            </w:pPr>
          </w:p>
        </w:tc>
        <w:tc>
          <w:tcPr>
            <w:tcW w:w="8505" w:type="dxa"/>
            <w:shd w:val="clear" w:color="auto" w:fill="auto"/>
          </w:tcPr>
          <w:p w:rsidR="00B14EBE" w:rsidRPr="00F1612D" w:rsidRDefault="00B14EBE" w:rsidP="00B14EBE">
            <w:pPr>
              <w:rPr>
                <w:b/>
                <w:sz w:val="20"/>
              </w:rPr>
            </w:pPr>
            <w:r w:rsidRPr="00F1612D">
              <w:rPr>
                <w:b/>
                <w:sz w:val="20"/>
              </w:rPr>
              <w:t>Spezifische Leistungspflichten</w:t>
            </w:r>
          </w:p>
          <w:p w:rsidR="00B14EBE" w:rsidRPr="00F1612D" w:rsidRDefault="00B14EBE" w:rsidP="00B14EBE">
            <w:pPr>
              <w:rPr>
                <w:sz w:val="20"/>
              </w:rPr>
            </w:pPr>
            <w:r w:rsidRPr="00F1612D">
              <w:rPr>
                <w:sz w:val="20"/>
              </w:rPr>
              <w:t>Die in der/den Anlage/n zu § 6 aufgeführten Grundleistungen sind für die ordnungsgemäße Erledigung im Allgemeinen erforderlich. Nicht angekreuzte Leistungen sind nicht beauftragt und sind bei der Berechnung der Vergütung gemäß § 8 Abs. 2 HOAI nicht zu berücksichtigen.</w:t>
            </w:r>
          </w:p>
          <w:p w:rsidR="00B14EBE" w:rsidRPr="00F1612D" w:rsidRDefault="00B14EBE" w:rsidP="00595527">
            <w:pPr>
              <w:rPr>
                <w:b/>
                <w:sz w:val="20"/>
              </w:rPr>
            </w:pPr>
          </w:p>
        </w:tc>
      </w:tr>
    </w:tbl>
    <w:tbl>
      <w:tblPr>
        <w:tblStyle w:val="Tabellenraster"/>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72"/>
        <w:gridCol w:w="8511"/>
      </w:tblGrid>
      <w:tr w:rsidR="00932E66" w:rsidRPr="00F1612D" w:rsidTr="00932E66">
        <w:tc>
          <w:tcPr>
            <w:tcW w:w="1172" w:type="dxa"/>
          </w:tcPr>
          <w:p w:rsidR="00932E66" w:rsidRPr="00F1612D" w:rsidRDefault="00932E66" w:rsidP="0028127F">
            <w:pPr>
              <w:rPr>
                <w:rFonts w:cs="Arial"/>
                <w:b/>
                <w:sz w:val="20"/>
              </w:rPr>
            </w:pPr>
          </w:p>
        </w:tc>
        <w:tc>
          <w:tcPr>
            <w:tcW w:w="8511" w:type="dxa"/>
          </w:tcPr>
          <w:p w:rsidR="00932E66" w:rsidRPr="00F1612D" w:rsidRDefault="00956450" w:rsidP="0028127F">
            <w:pPr>
              <w:rPr>
                <w:rFonts w:cs="Arial"/>
                <w:b/>
                <w:sz w:val="20"/>
              </w:rPr>
            </w:pPr>
            <w:r w:rsidRPr="00F1612D">
              <w:rPr>
                <w:rFonts w:cs="Arial"/>
                <w:b/>
                <w:sz w:val="20"/>
              </w:rPr>
              <w:t xml:space="preserve">Vertragsmuster </w:t>
            </w:r>
          </w:p>
          <w:p w:rsidR="00932E66" w:rsidRPr="00F1612D" w:rsidRDefault="00932E66" w:rsidP="0028127F">
            <w:pPr>
              <w:rPr>
                <w:rFonts w:cs="Arial"/>
                <w:sz w:val="20"/>
              </w:rPr>
            </w:pPr>
            <w:r w:rsidRPr="00F1612D">
              <w:rPr>
                <w:rFonts w:cs="Arial"/>
                <w:sz w:val="20"/>
              </w:rPr>
              <w:t xml:space="preserve">In der Anlage zu § 6 sind als </w:t>
            </w:r>
            <w:r w:rsidRPr="00F1612D">
              <w:rPr>
                <w:rFonts w:cs="Arial"/>
                <w:b/>
                <w:sz w:val="20"/>
              </w:rPr>
              <w:t>Orientierungswerte</w:t>
            </w:r>
            <w:r w:rsidRPr="00F1612D">
              <w:rPr>
                <w:rFonts w:cs="Arial"/>
                <w:sz w:val="20"/>
              </w:rPr>
              <w:t xml:space="preserve"> v. H. - Sätze zu den einzelnen Grundleistungen für durchschnittliche Maßnahmen vorgeschlagen. Davon kann im konkreten Einzelfall im Rahmen der Maximalsätze der Leistungsphasen abgewichen werden. Bereits berücksichtigt sind dabei die in § 6 vorgegebenen Leistungen, soweit diese generell vom AG erbracht werden.</w:t>
            </w:r>
          </w:p>
          <w:p w:rsidR="00932E66" w:rsidRPr="00F1612D" w:rsidRDefault="00932E66" w:rsidP="0028127F">
            <w:pPr>
              <w:rPr>
                <w:rFonts w:cs="Arial"/>
                <w:b/>
                <w:sz w:val="20"/>
              </w:rPr>
            </w:pPr>
          </w:p>
        </w:tc>
      </w:tr>
      <w:tr w:rsidR="00932E66" w:rsidRPr="00F1612D" w:rsidTr="00932E66">
        <w:tc>
          <w:tcPr>
            <w:tcW w:w="1172" w:type="dxa"/>
          </w:tcPr>
          <w:p w:rsidR="00932E66" w:rsidRPr="00F1612D" w:rsidRDefault="00932E66" w:rsidP="0028127F">
            <w:pPr>
              <w:rPr>
                <w:rFonts w:cs="Arial"/>
                <w:b/>
                <w:sz w:val="20"/>
              </w:rPr>
            </w:pPr>
          </w:p>
          <w:p w:rsidR="00932E66" w:rsidRPr="00F1612D" w:rsidRDefault="00932E66" w:rsidP="0028127F">
            <w:pPr>
              <w:rPr>
                <w:rFonts w:cs="Arial"/>
                <w:sz w:val="20"/>
              </w:rPr>
            </w:pPr>
          </w:p>
        </w:tc>
        <w:tc>
          <w:tcPr>
            <w:tcW w:w="8511" w:type="dxa"/>
          </w:tcPr>
          <w:p w:rsidR="00932E66" w:rsidRPr="00F1612D" w:rsidRDefault="00932E66" w:rsidP="0028127F">
            <w:pPr>
              <w:rPr>
                <w:rFonts w:cs="Arial"/>
                <w:b/>
                <w:sz w:val="20"/>
              </w:rPr>
            </w:pPr>
            <w:r w:rsidRPr="00F1612D">
              <w:rPr>
                <w:rFonts w:cs="Arial"/>
                <w:b/>
                <w:sz w:val="20"/>
              </w:rPr>
              <w:t>Abschläge</w:t>
            </w:r>
          </w:p>
          <w:p w:rsidR="00932E66" w:rsidRPr="00F1612D" w:rsidRDefault="00932E66" w:rsidP="0028127F">
            <w:pPr>
              <w:rPr>
                <w:rFonts w:cs="Arial"/>
                <w:sz w:val="20"/>
              </w:rPr>
            </w:pPr>
            <w:r w:rsidRPr="00F1612D">
              <w:rPr>
                <w:rFonts w:cs="Arial"/>
                <w:sz w:val="20"/>
              </w:rPr>
              <w:t xml:space="preserve">Gemäß den Festlegungen in § 6 werden wesentliche Teile von Grundleistungen </w:t>
            </w:r>
            <w:r w:rsidRPr="00F1612D">
              <w:rPr>
                <w:rFonts w:cs="Arial"/>
                <w:b/>
                <w:sz w:val="20"/>
              </w:rPr>
              <w:t xml:space="preserve">vom AG erbracht. </w:t>
            </w:r>
            <w:r w:rsidRPr="00F1612D">
              <w:rPr>
                <w:rFonts w:cs="Arial"/>
                <w:sz w:val="20"/>
              </w:rPr>
              <w:t>Hierfür sind gemäß § 8 Abs. 2 Satz 3 HOAI nachstehend festgelegte  Abschläge vorzunehmen:</w:t>
            </w:r>
          </w:p>
          <w:p w:rsidR="00932E66" w:rsidRPr="00F1612D" w:rsidRDefault="00932E66" w:rsidP="0028127F">
            <w:pPr>
              <w:rPr>
                <w:rFonts w:cs="Arial"/>
                <w:sz w:val="20"/>
              </w:rPr>
            </w:pPr>
          </w:p>
          <w:p w:rsidR="00932E66" w:rsidRPr="00F1612D" w:rsidRDefault="00932E66" w:rsidP="00D302DE">
            <w:pPr>
              <w:jc w:val="left"/>
              <w:rPr>
                <w:rFonts w:cs="Arial"/>
                <w:sz w:val="20"/>
              </w:rPr>
            </w:pPr>
            <w:r w:rsidRPr="00F1612D">
              <w:rPr>
                <w:rFonts w:cs="Arial"/>
                <w:sz w:val="20"/>
              </w:rPr>
              <w:t>§ 6 Nr. 6.1.1:</w:t>
            </w:r>
          </w:p>
          <w:p w:rsidR="00932E66" w:rsidRPr="00F1612D" w:rsidRDefault="00932E66" w:rsidP="00D302DE">
            <w:pPr>
              <w:jc w:val="left"/>
              <w:rPr>
                <w:rFonts w:cs="Arial"/>
                <w:sz w:val="20"/>
                <w:u w:val="single"/>
              </w:rPr>
            </w:pPr>
            <w:r w:rsidRPr="00F1612D">
              <w:rPr>
                <w:rFonts w:cs="Arial"/>
                <w:sz w:val="20"/>
                <w:u w:val="single"/>
              </w:rPr>
              <w:t>LPh 2 (Vorplanung):</w:t>
            </w:r>
          </w:p>
          <w:p w:rsidR="00932E66" w:rsidRPr="00F1612D" w:rsidRDefault="00932E66" w:rsidP="00D302DE">
            <w:pPr>
              <w:jc w:val="left"/>
              <w:rPr>
                <w:rFonts w:cs="Arial"/>
                <w:sz w:val="20"/>
              </w:rPr>
            </w:pPr>
            <w:r w:rsidRPr="00F1612D">
              <w:rPr>
                <w:rFonts w:cs="Arial"/>
                <w:sz w:val="20"/>
              </w:rPr>
              <w:t xml:space="preserve">Abzug von 0,5 v.H., da die Federführung bei den Vorverhandlungen über die Genehmigungsfähigkeit durch den Auftraggeber durchgeführt wird; </w:t>
            </w:r>
          </w:p>
          <w:p w:rsidR="005A5275" w:rsidRPr="00F1612D" w:rsidRDefault="005A5275" w:rsidP="00D302DE">
            <w:pPr>
              <w:jc w:val="left"/>
              <w:rPr>
                <w:rFonts w:cs="Arial"/>
                <w:sz w:val="20"/>
                <w:u w:val="single"/>
              </w:rPr>
            </w:pPr>
            <w:r w:rsidRPr="00F1612D">
              <w:rPr>
                <w:rFonts w:cs="Arial"/>
                <w:sz w:val="20"/>
                <w:u w:val="single"/>
              </w:rPr>
              <w:t>§ 6 Nr. 6.2.1:</w:t>
            </w:r>
          </w:p>
          <w:p w:rsidR="00932E66" w:rsidRPr="00F1612D" w:rsidRDefault="00932E66" w:rsidP="00D302DE">
            <w:pPr>
              <w:jc w:val="left"/>
              <w:rPr>
                <w:rFonts w:cs="Arial"/>
                <w:sz w:val="20"/>
                <w:u w:val="single"/>
              </w:rPr>
            </w:pPr>
            <w:r w:rsidRPr="00F1612D">
              <w:rPr>
                <w:rFonts w:cs="Arial"/>
                <w:sz w:val="20"/>
                <w:u w:val="single"/>
              </w:rPr>
              <w:t>LPh 3 (Entwurfsplanung</w:t>
            </w:r>
            <w:r w:rsidR="007D3562" w:rsidRPr="00F1612D">
              <w:rPr>
                <w:rFonts w:cs="Arial"/>
                <w:sz w:val="20"/>
                <w:u w:val="single"/>
              </w:rPr>
              <w:t>)</w:t>
            </w:r>
            <w:r w:rsidRPr="00F1612D">
              <w:rPr>
                <w:rFonts w:cs="Arial"/>
                <w:sz w:val="20"/>
                <w:u w:val="single"/>
              </w:rPr>
              <w:t>:</w:t>
            </w:r>
          </w:p>
          <w:p w:rsidR="00932E66" w:rsidRPr="00F1612D" w:rsidRDefault="00932E66" w:rsidP="00D302DE">
            <w:pPr>
              <w:jc w:val="left"/>
              <w:rPr>
                <w:rFonts w:cs="Arial"/>
                <w:sz w:val="20"/>
              </w:rPr>
            </w:pPr>
            <w:r w:rsidRPr="00F1612D">
              <w:rPr>
                <w:rFonts w:cs="Arial"/>
                <w:sz w:val="20"/>
              </w:rPr>
              <w:t>Abzug von 0,5 v.H., da die Federführung bei den Vorverhandlungen über die Genehmigungsfähigkeit durch den Auftraggeber durchgeführt wird;</w:t>
            </w:r>
          </w:p>
          <w:p w:rsidR="00932E66" w:rsidRPr="00F1612D" w:rsidRDefault="00932E66" w:rsidP="00D302DE">
            <w:pPr>
              <w:jc w:val="left"/>
              <w:rPr>
                <w:rFonts w:cs="Arial"/>
                <w:sz w:val="20"/>
              </w:rPr>
            </w:pPr>
          </w:p>
          <w:p w:rsidR="00932E66" w:rsidRPr="00F1612D" w:rsidRDefault="00932E66" w:rsidP="00D302DE">
            <w:pPr>
              <w:jc w:val="left"/>
              <w:rPr>
                <w:rFonts w:cs="Arial"/>
                <w:sz w:val="20"/>
              </w:rPr>
            </w:pPr>
            <w:r w:rsidRPr="00F1612D">
              <w:rPr>
                <w:rFonts w:cs="Arial"/>
                <w:sz w:val="20"/>
              </w:rPr>
              <w:t>§ 6 Nr. 6.</w:t>
            </w:r>
            <w:r w:rsidR="005A5275" w:rsidRPr="00F1612D">
              <w:rPr>
                <w:rFonts w:cs="Arial"/>
                <w:sz w:val="20"/>
              </w:rPr>
              <w:t>4</w:t>
            </w:r>
            <w:r w:rsidRPr="00F1612D">
              <w:rPr>
                <w:rFonts w:cs="Arial"/>
                <w:sz w:val="20"/>
              </w:rPr>
              <w:t>.2:</w:t>
            </w:r>
          </w:p>
          <w:p w:rsidR="00932E66" w:rsidRPr="00F1612D" w:rsidRDefault="00932E66" w:rsidP="00D302DE">
            <w:pPr>
              <w:jc w:val="left"/>
              <w:rPr>
                <w:rFonts w:cs="Arial"/>
                <w:sz w:val="20"/>
                <w:u w:val="single"/>
              </w:rPr>
            </w:pPr>
            <w:r w:rsidRPr="00F1612D">
              <w:rPr>
                <w:rFonts w:cs="Arial"/>
                <w:sz w:val="20"/>
                <w:u w:val="single"/>
              </w:rPr>
              <w:t>LPh 6 (Vorbereiten der Vergabe):</w:t>
            </w:r>
          </w:p>
          <w:p w:rsidR="00932E66" w:rsidRPr="00F1612D" w:rsidRDefault="00932E66" w:rsidP="00D302DE">
            <w:pPr>
              <w:jc w:val="left"/>
              <w:rPr>
                <w:rFonts w:cs="Arial"/>
                <w:sz w:val="20"/>
              </w:rPr>
            </w:pPr>
            <w:r w:rsidRPr="00F1612D">
              <w:rPr>
                <w:rFonts w:cs="Arial"/>
                <w:sz w:val="20"/>
              </w:rPr>
              <w:t>Abzug von 0,2</w:t>
            </w:r>
            <w:r w:rsidR="00C47F6A" w:rsidRPr="00F1612D">
              <w:rPr>
                <w:rFonts w:cs="Arial"/>
                <w:sz w:val="20"/>
              </w:rPr>
              <w:t>5</w:t>
            </w:r>
            <w:r w:rsidRPr="00F1612D">
              <w:rPr>
                <w:rFonts w:cs="Arial"/>
                <w:sz w:val="20"/>
              </w:rPr>
              <w:t xml:space="preserve"> v.H. erfolgt, da das Zusammenstellen der Vergabeunterlagen durch den Auftraggeber durchgeführt wird;</w:t>
            </w:r>
          </w:p>
          <w:p w:rsidR="00932E66" w:rsidRPr="00F1612D" w:rsidRDefault="00932E66" w:rsidP="00D302DE">
            <w:pPr>
              <w:jc w:val="left"/>
              <w:rPr>
                <w:rFonts w:cs="Arial"/>
                <w:sz w:val="20"/>
                <w:u w:val="single"/>
              </w:rPr>
            </w:pPr>
            <w:r w:rsidRPr="00F1612D">
              <w:rPr>
                <w:rFonts w:cs="Arial"/>
                <w:sz w:val="20"/>
                <w:u w:val="single"/>
              </w:rPr>
              <w:t>LPh 7 (Mitwirken bei der Vergabe):</w:t>
            </w:r>
          </w:p>
          <w:p w:rsidR="00932E66" w:rsidRPr="00F1612D" w:rsidRDefault="00932E66" w:rsidP="00D302DE">
            <w:pPr>
              <w:jc w:val="left"/>
              <w:rPr>
                <w:rFonts w:cs="Arial"/>
                <w:sz w:val="20"/>
              </w:rPr>
            </w:pPr>
            <w:r w:rsidRPr="00F1612D">
              <w:rPr>
                <w:rFonts w:cs="Arial"/>
                <w:sz w:val="20"/>
              </w:rPr>
              <w:t>Abzug bei den Grundleistungen</w:t>
            </w:r>
          </w:p>
          <w:p w:rsidR="00932E66" w:rsidRPr="00F1612D" w:rsidRDefault="00932E66" w:rsidP="00D302DE">
            <w:pPr>
              <w:jc w:val="left"/>
              <w:rPr>
                <w:rFonts w:cs="Arial"/>
                <w:sz w:val="20"/>
              </w:rPr>
            </w:pPr>
            <w:r w:rsidRPr="00F1612D">
              <w:rPr>
                <w:rFonts w:cs="Arial"/>
                <w:sz w:val="20"/>
              </w:rPr>
              <w:t xml:space="preserve">zu </w:t>
            </w:r>
            <w:r w:rsidR="00C47F6A" w:rsidRPr="00F1612D">
              <w:rPr>
                <w:rFonts w:cs="Arial"/>
                <w:sz w:val="20"/>
              </w:rPr>
              <w:t>a</w:t>
            </w:r>
            <w:r w:rsidRPr="00F1612D">
              <w:rPr>
                <w:rFonts w:cs="Arial"/>
                <w:sz w:val="20"/>
              </w:rPr>
              <w:t>)  von 0,</w:t>
            </w:r>
            <w:r w:rsidR="00C47F6A" w:rsidRPr="00F1612D">
              <w:rPr>
                <w:rFonts w:cs="Arial"/>
                <w:sz w:val="20"/>
              </w:rPr>
              <w:t>25</w:t>
            </w:r>
            <w:r w:rsidRPr="00F1612D">
              <w:rPr>
                <w:rFonts w:cs="Arial"/>
                <w:sz w:val="20"/>
              </w:rPr>
              <w:t xml:space="preserve"> v.</w:t>
            </w:r>
            <w:r w:rsidR="0090227F" w:rsidRPr="00F1612D">
              <w:rPr>
                <w:rFonts w:cs="Arial"/>
                <w:sz w:val="20"/>
              </w:rPr>
              <w:t xml:space="preserve"> </w:t>
            </w:r>
            <w:r w:rsidRPr="00F1612D">
              <w:rPr>
                <w:rFonts w:cs="Arial"/>
                <w:sz w:val="20"/>
              </w:rPr>
              <w:t>H. erfolgt, da das Einholen von Angeboten durch den Auftraggeber erfolgt</w:t>
            </w:r>
          </w:p>
          <w:p w:rsidR="00932E66" w:rsidRPr="00F1612D" w:rsidRDefault="00932E66" w:rsidP="00D302DE">
            <w:pPr>
              <w:ind w:left="564" w:hanging="564"/>
              <w:jc w:val="left"/>
              <w:rPr>
                <w:rFonts w:cs="Arial"/>
                <w:sz w:val="20"/>
              </w:rPr>
            </w:pPr>
            <w:r w:rsidRPr="00F1612D">
              <w:rPr>
                <w:rFonts w:cs="Arial"/>
                <w:sz w:val="20"/>
              </w:rPr>
              <w:t xml:space="preserve">zu </w:t>
            </w:r>
            <w:r w:rsidR="00D302DE" w:rsidRPr="00F1612D">
              <w:rPr>
                <w:rFonts w:cs="Arial"/>
                <w:sz w:val="20"/>
              </w:rPr>
              <w:t>b</w:t>
            </w:r>
            <w:r w:rsidRPr="00F1612D">
              <w:rPr>
                <w:rFonts w:cs="Arial"/>
                <w:sz w:val="20"/>
              </w:rPr>
              <w:t xml:space="preserve">) </w:t>
            </w:r>
            <w:r w:rsidR="00D302DE" w:rsidRPr="00F1612D">
              <w:rPr>
                <w:rFonts w:cs="Arial"/>
                <w:sz w:val="20"/>
              </w:rPr>
              <w:t xml:space="preserve"> </w:t>
            </w:r>
            <w:r w:rsidRPr="00F1612D">
              <w:rPr>
                <w:rFonts w:cs="Arial"/>
                <w:sz w:val="20"/>
              </w:rPr>
              <w:t>von 0,2</w:t>
            </w:r>
            <w:r w:rsidR="00D302DE" w:rsidRPr="00F1612D">
              <w:rPr>
                <w:rFonts w:cs="Arial"/>
                <w:sz w:val="20"/>
              </w:rPr>
              <w:t>5</w:t>
            </w:r>
            <w:r w:rsidRPr="00F1612D">
              <w:rPr>
                <w:rFonts w:cs="Arial"/>
                <w:sz w:val="20"/>
              </w:rPr>
              <w:t xml:space="preserve"> v.</w:t>
            </w:r>
            <w:r w:rsidR="0090227F" w:rsidRPr="00F1612D">
              <w:rPr>
                <w:rFonts w:cs="Arial"/>
                <w:sz w:val="20"/>
              </w:rPr>
              <w:t xml:space="preserve"> </w:t>
            </w:r>
            <w:r w:rsidRPr="00F1612D">
              <w:rPr>
                <w:rFonts w:cs="Arial"/>
                <w:sz w:val="20"/>
              </w:rPr>
              <w:t xml:space="preserve">H. erfolgt, da die Durchsicht und das Nachrechnen der Angebote </w:t>
            </w:r>
            <w:r w:rsidR="00D302DE" w:rsidRPr="00F1612D">
              <w:rPr>
                <w:rFonts w:cs="Arial"/>
                <w:sz w:val="20"/>
              </w:rPr>
              <w:t xml:space="preserve"> </w:t>
            </w:r>
            <w:r w:rsidRPr="00F1612D">
              <w:rPr>
                <w:rFonts w:cs="Arial"/>
                <w:sz w:val="20"/>
              </w:rPr>
              <w:t>durch den Auftraggeber erfolgt</w:t>
            </w:r>
          </w:p>
          <w:p w:rsidR="00932E66" w:rsidRPr="00F1612D" w:rsidRDefault="00932E66" w:rsidP="00D302DE">
            <w:pPr>
              <w:ind w:left="508" w:hanging="508"/>
              <w:jc w:val="left"/>
              <w:rPr>
                <w:rFonts w:cs="Arial"/>
                <w:sz w:val="20"/>
              </w:rPr>
            </w:pPr>
            <w:r w:rsidRPr="00F1612D">
              <w:rPr>
                <w:rFonts w:cs="Arial"/>
                <w:sz w:val="20"/>
              </w:rPr>
              <w:t xml:space="preserve">zu f) </w:t>
            </w:r>
            <w:r w:rsidR="00D302DE" w:rsidRPr="00F1612D">
              <w:rPr>
                <w:rFonts w:cs="Arial"/>
                <w:sz w:val="20"/>
              </w:rPr>
              <w:t xml:space="preserve"> </w:t>
            </w:r>
            <w:r w:rsidRPr="00F1612D">
              <w:rPr>
                <w:rFonts w:cs="Arial"/>
                <w:sz w:val="20"/>
              </w:rPr>
              <w:t>von 0,2</w:t>
            </w:r>
            <w:r w:rsidR="00D302DE" w:rsidRPr="00F1612D">
              <w:rPr>
                <w:rFonts w:cs="Arial"/>
                <w:sz w:val="20"/>
              </w:rPr>
              <w:t>5</w:t>
            </w:r>
            <w:r w:rsidRPr="00F1612D">
              <w:rPr>
                <w:rFonts w:cs="Arial"/>
                <w:sz w:val="20"/>
              </w:rPr>
              <w:t xml:space="preserve"> v.</w:t>
            </w:r>
            <w:r w:rsidR="0090227F" w:rsidRPr="00F1612D">
              <w:rPr>
                <w:rFonts w:cs="Arial"/>
                <w:sz w:val="20"/>
              </w:rPr>
              <w:t xml:space="preserve"> </w:t>
            </w:r>
            <w:r w:rsidRPr="00F1612D">
              <w:rPr>
                <w:rFonts w:cs="Arial"/>
                <w:sz w:val="20"/>
              </w:rPr>
              <w:t>H. erfolgt, da das Zusammenstellen der Vertragsunterlagen durch den Auftraggeber erfolgt;</w:t>
            </w:r>
          </w:p>
          <w:p w:rsidR="00932E66" w:rsidRPr="00F1612D" w:rsidRDefault="00932E66" w:rsidP="0028127F">
            <w:pPr>
              <w:ind w:right="-108"/>
              <w:rPr>
                <w:rFonts w:cs="Arial"/>
                <w:sz w:val="20"/>
              </w:rPr>
            </w:pPr>
          </w:p>
          <w:p w:rsidR="00932E66" w:rsidRPr="00F1612D" w:rsidRDefault="00932E66" w:rsidP="0028127F">
            <w:pPr>
              <w:ind w:right="-108"/>
              <w:rPr>
                <w:rFonts w:cs="Arial"/>
                <w:sz w:val="20"/>
              </w:rPr>
            </w:pPr>
            <w:r w:rsidRPr="00F1612D">
              <w:rPr>
                <w:rFonts w:cs="Arial"/>
                <w:sz w:val="20"/>
              </w:rPr>
              <w:lastRenderedPageBreak/>
              <w:t>Werden weitere Grundleistungen bzw. Teile von Grundleistungen nicht beauftragt, ist analog nach § 8 HOAI zu verfahren.</w:t>
            </w:r>
          </w:p>
          <w:p w:rsidR="00932E66" w:rsidRPr="00F1612D" w:rsidRDefault="00932E66" w:rsidP="0028127F">
            <w:pPr>
              <w:ind w:right="-108"/>
              <w:rPr>
                <w:rFonts w:cs="Arial"/>
                <w:sz w:val="20"/>
              </w:rPr>
            </w:pPr>
          </w:p>
        </w:tc>
      </w:tr>
    </w:tbl>
    <w:tbl>
      <w:tblPr>
        <w:tblW w:w="9677" w:type="dxa"/>
        <w:tblLayout w:type="fixed"/>
        <w:tblLook w:val="01E0" w:firstRow="1" w:lastRow="1" w:firstColumn="1" w:lastColumn="1" w:noHBand="0" w:noVBand="0"/>
      </w:tblPr>
      <w:tblGrid>
        <w:gridCol w:w="1172"/>
        <w:gridCol w:w="8505"/>
      </w:tblGrid>
      <w:tr w:rsidR="00E8221D" w:rsidRPr="00F1612D" w:rsidTr="005D697D">
        <w:trPr>
          <w:cantSplit/>
        </w:trPr>
        <w:tc>
          <w:tcPr>
            <w:tcW w:w="1172" w:type="dxa"/>
            <w:shd w:val="clear" w:color="auto" w:fill="auto"/>
          </w:tcPr>
          <w:p w:rsidR="00E8221D" w:rsidRPr="00F1612D" w:rsidRDefault="00E8221D" w:rsidP="00595527">
            <w:pPr>
              <w:rPr>
                <w:b/>
                <w:sz w:val="20"/>
              </w:rPr>
            </w:pPr>
          </w:p>
        </w:tc>
        <w:tc>
          <w:tcPr>
            <w:tcW w:w="8505" w:type="dxa"/>
            <w:shd w:val="clear" w:color="auto" w:fill="auto"/>
          </w:tcPr>
          <w:p w:rsidR="00DA3AEB" w:rsidRPr="00F1612D" w:rsidRDefault="00DA3AEB" w:rsidP="00313FF5">
            <w:pPr>
              <w:rPr>
                <w:sz w:val="20"/>
              </w:rPr>
            </w:pPr>
            <w:r w:rsidRPr="00F1612D">
              <w:rPr>
                <w:sz w:val="20"/>
              </w:rPr>
              <w:t>Werden</w:t>
            </w:r>
            <w:r w:rsidR="00313FF5" w:rsidRPr="00F1612D">
              <w:rPr>
                <w:sz w:val="20"/>
              </w:rPr>
              <w:t xml:space="preserve"> einem Auftragnehmer </w:t>
            </w:r>
            <w:r w:rsidRPr="00F1612D">
              <w:rPr>
                <w:sz w:val="20"/>
              </w:rPr>
              <w:t xml:space="preserve">mehrere Anlagengruppen </w:t>
            </w:r>
            <w:r w:rsidR="00313FF5" w:rsidRPr="00F1612D">
              <w:rPr>
                <w:sz w:val="20"/>
              </w:rPr>
              <w:t xml:space="preserve">übertragen, ist </w:t>
            </w:r>
            <w:r w:rsidRPr="00F1612D">
              <w:rPr>
                <w:sz w:val="20"/>
              </w:rPr>
              <w:t xml:space="preserve">für jede Anlagengruppe eine eigene </w:t>
            </w:r>
            <w:r w:rsidR="00313FF5" w:rsidRPr="00F1612D">
              <w:rPr>
                <w:sz w:val="20"/>
              </w:rPr>
              <w:t xml:space="preserve">Anlage zu § 6 </w:t>
            </w:r>
            <w:r w:rsidRPr="00F1612D">
              <w:rPr>
                <w:sz w:val="20"/>
              </w:rPr>
              <w:t>zu fertigen.</w:t>
            </w:r>
          </w:p>
          <w:p w:rsidR="00313FF5" w:rsidRPr="00F1612D" w:rsidRDefault="00313FF5" w:rsidP="00313FF5">
            <w:pPr>
              <w:rPr>
                <w:sz w:val="20"/>
              </w:rPr>
            </w:pPr>
            <w:r w:rsidRPr="00F1612D">
              <w:rPr>
                <w:sz w:val="20"/>
              </w:rPr>
              <w:t>Die Gesamtzahl der Anlagen zu § 6 ist im Vertrag unter § 2 Nummer 2.1 einzutragen.</w:t>
            </w:r>
          </w:p>
          <w:p w:rsidR="00E8221D" w:rsidRPr="00F1612D" w:rsidRDefault="00E8221D" w:rsidP="00595527">
            <w:pPr>
              <w:rPr>
                <w:sz w:val="20"/>
              </w:rPr>
            </w:pPr>
          </w:p>
        </w:tc>
      </w:tr>
      <w:tr w:rsidR="00E8221D" w:rsidRPr="00F1612D" w:rsidTr="005D697D">
        <w:trPr>
          <w:cantSplit/>
        </w:trPr>
        <w:tc>
          <w:tcPr>
            <w:tcW w:w="1172" w:type="dxa"/>
            <w:shd w:val="clear" w:color="auto" w:fill="auto"/>
          </w:tcPr>
          <w:p w:rsidR="00E8221D" w:rsidRPr="00F1612D" w:rsidRDefault="00E8221D" w:rsidP="00595527">
            <w:pPr>
              <w:rPr>
                <w:b/>
                <w:sz w:val="20"/>
              </w:rPr>
            </w:pPr>
          </w:p>
        </w:tc>
        <w:tc>
          <w:tcPr>
            <w:tcW w:w="8505" w:type="dxa"/>
            <w:shd w:val="clear" w:color="auto" w:fill="auto"/>
          </w:tcPr>
          <w:p w:rsidR="000C7D13" w:rsidRPr="00F1612D" w:rsidRDefault="000C7D13" w:rsidP="000C7D13">
            <w:pPr>
              <w:rPr>
                <w:sz w:val="20"/>
              </w:rPr>
            </w:pPr>
            <w:r w:rsidRPr="00F1612D">
              <w:rPr>
                <w:b/>
                <w:sz w:val="20"/>
              </w:rPr>
              <w:t>Besondere Leistungen</w:t>
            </w:r>
            <w:r w:rsidRPr="00F1612D">
              <w:rPr>
                <w:sz w:val="20"/>
              </w:rPr>
              <w:t xml:space="preserve"> </w:t>
            </w:r>
          </w:p>
          <w:p w:rsidR="000C7D13" w:rsidRPr="00F1612D" w:rsidRDefault="000C7D13" w:rsidP="000C7D13">
            <w:pPr>
              <w:rPr>
                <w:sz w:val="20"/>
              </w:rPr>
            </w:pPr>
            <w:r w:rsidRPr="00F1612D">
              <w:rPr>
                <w:sz w:val="20"/>
              </w:rPr>
              <w:t xml:space="preserve">sind nach Bedarf projektspezifisch zu vereinbaren und in der/den Anlage(n) zu § 6 zu beschreiben. Auf folgende Besondere Leistungen wird in der Anlage explizit hingewiesen: </w:t>
            </w:r>
          </w:p>
          <w:p w:rsidR="00E8221D" w:rsidRPr="00F1612D" w:rsidRDefault="00E8221D" w:rsidP="00595527">
            <w:pPr>
              <w:rPr>
                <w:sz w:val="20"/>
              </w:rPr>
            </w:pPr>
          </w:p>
        </w:tc>
      </w:tr>
      <w:tr w:rsidR="006E637C" w:rsidRPr="00F1612D" w:rsidTr="005D697D">
        <w:trPr>
          <w:cantSplit/>
        </w:trPr>
        <w:tc>
          <w:tcPr>
            <w:tcW w:w="1172" w:type="dxa"/>
            <w:shd w:val="clear" w:color="auto" w:fill="auto"/>
          </w:tcPr>
          <w:p w:rsidR="006E637C" w:rsidRPr="00F1612D" w:rsidRDefault="006E637C" w:rsidP="00595527">
            <w:pPr>
              <w:rPr>
                <w:b/>
                <w:sz w:val="20"/>
              </w:rPr>
            </w:pPr>
          </w:p>
        </w:tc>
        <w:tc>
          <w:tcPr>
            <w:tcW w:w="8505" w:type="dxa"/>
            <w:shd w:val="clear" w:color="auto" w:fill="auto"/>
          </w:tcPr>
          <w:p w:rsidR="006E637C" w:rsidRPr="00F1612D" w:rsidRDefault="006E637C" w:rsidP="006E637C">
            <w:pPr>
              <w:rPr>
                <w:rFonts w:cs="Arial"/>
                <w:sz w:val="20"/>
              </w:rPr>
            </w:pPr>
            <w:r w:rsidRPr="00F1612D">
              <w:rPr>
                <w:rFonts w:cs="Arial"/>
                <w:sz w:val="20"/>
              </w:rPr>
              <w:t xml:space="preserve">Leistungsstufe </w:t>
            </w:r>
            <w:r w:rsidR="00F03CC0" w:rsidRPr="00F1612D">
              <w:rPr>
                <w:rFonts w:cs="Arial"/>
                <w:sz w:val="20"/>
              </w:rPr>
              <w:t>6</w:t>
            </w:r>
            <w:r w:rsidRPr="00F1612D">
              <w:rPr>
                <w:rFonts w:cs="Arial"/>
                <w:sz w:val="20"/>
              </w:rPr>
              <w:t xml:space="preserve">: </w:t>
            </w:r>
          </w:p>
          <w:p w:rsidR="006E637C" w:rsidRPr="00F1612D" w:rsidRDefault="006E637C" w:rsidP="00F03CC0">
            <w:pPr>
              <w:rPr>
                <w:rFonts w:cs="Arial"/>
                <w:sz w:val="20"/>
              </w:rPr>
            </w:pPr>
            <w:r w:rsidRPr="00F1612D">
              <w:rPr>
                <w:rFonts w:cs="Arial"/>
                <w:sz w:val="20"/>
              </w:rPr>
              <w:t>Erstellen einer Bestandsdokumentation gemäß Anlage VI.4 VHF im mit dem jeweiligen Maßnahmenträger abgestimmten Umfang.</w:t>
            </w:r>
          </w:p>
        </w:tc>
      </w:tr>
    </w:tbl>
    <w:p w:rsidR="006E637C" w:rsidRPr="00F1612D" w:rsidRDefault="006E637C"/>
    <w:p w:rsidR="009122A5" w:rsidRPr="00F1612D" w:rsidRDefault="009122A5">
      <w:pPr>
        <w:widowControl/>
        <w:jc w:val="left"/>
      </w:pPr>
    </w:p>
    <w:p w:rsidR="00956450" w:rsidRPr="00F1612D" w:rsidRDefault="00956450">
      <w:pPr>
        <w:widowControl/>
        <w:jc w:val="left"/>
      </w:pPr>
    </w:p>
    <w:p w:rsidR="006E637C" w:rsidRPr="00F1612D" w:rsidRDefault="006E637C" w:rsidP="006E637C">
      <w:pPr>
        <w:widowControl/>
        <w:numPr>
          <w:ilvl w:val="0"/>
          <w:numId w:val="38"/>
        </w:numPr>
        <w:tabs>
          <w:tab w:val="clear" w:pos="720"/>
          <w:tab w:val="num" w:pos="360"/>
        </w:tabs>
        <w:ind w:hanging="720"/>
        <w:rPr>
          <w:rFonts w:cs="Arial"/>
          <w:b/>
          <w:sz w:val="22"/>
          <w:szCs w:val="22"/>
        </w:rPr>
      </w:pPr>
      <w:r w:rsidRPr="00F1612D">
        <w:rPr>
          <w:rFonts w:cs="Arial"/>
          <w:b/>
          <w:sz w:val="22"/>
          <w:szCs w:val="22"/>
        </w:rPr>
        <w:t>Richtli</w:t>
      </w:r>
      <w:r w:rsidR="001C1D4B" w:rsidRPr="00F1612D">
        <w:rPr>
          <w:rFonts w:cs="Arial"/>
          <w:b/>
          <w:sz w:val="22"/>
          <w:szCs w:val="22"/>
        </w:rPr>
        <w:t>nie zur Anwendung der Anlage VI</w:t>
      </w:r>
      <w:r w:rsidRPr="00F1612D">
        <w:rPr>
          <w:rFonts w:cs="Arial"/>
          <w:b/>
          <w:sz w:val="22"/>
          <w:szCs w:val="22"/>
        </w:rPr>
        <w:t>.</w:t>
      </w:r>
      <w:r w:rsidR="001C1D4B" w:rsidRPr="00F1612D">
        <w:rPr>
          <w:rFonts w:cs="Arial"/>
          <w:b/>
          <w:sz w:val="22"/>
          <w:szCs w:val="22"/>
        </w:rPr>
        <w:t>1</w:t>
      </w:r>
      <w:r w:rsidRPr="00F1612D">
        <w:rPr>
          <w:rFonts w:cs="Arial"/>
          <w:b/>
          <w:sz w:val="22"/>
          <w:szCs w:val="22"/>
        </w:rPr>
        <w:t xml:space="preserve"> (AVB)</w:t>
      </w:r>
    </w:p>
    <w:p w:rsidR="006E637C" w:rsidRPr="00F1612D" w:rsidRDefault="006E637C"/>
    <w:p w:rsidR="006E637C" w:rsidRPr="00F1612D" w:rsidRDefault="006E637C"/>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8505"/>
      </w:tblGrid>
      <w:tr w:rsidR="00E616B5" w:rsidRPr="00F1612D" w:rsidTr="005D697D">
        <w:tc>
          <w:tcPr>
            <w:tcW w:w="1172" w:type="dxa"/>
            <w:tcBorders>
              <w:top w:val="nil"/>
              <w:left w:val="nil"/>
              <w:bottom w:val="nil"/>
              <w:right w:val="nil"/>
            </w:tcBorders>
            <w:shd w:val="clear" w:color="auto" w:fill="auto"/>
          </w:tcPr>
          <w:p w:rsidR="00E616B5" w:rsidRPr="00F1612D" w:rsidRDefault="00E616B5" w:rsidP="006E637C">
            <w:pPr>
              <w:rPr>
                <w:b/>
                <w:sz w:val="20"/>
              </w:rPr>
            </w:pPr>
            <w:r w:rsidRPr="00F1612D">
              <w:rPr>
                <w:b/>
                <w:sz w:val="20"/>
              </w:rPr>
              <w:t xml:space="preserve">Zu § 12 </w:t>
            </w:r>
          </w:p>
        </w:tc>
        <w:tc>
          <w:tcPr>
            <w:tcW w:w="8505" w:type="dxa"/>
            <w:tcBorders>
              <w:top w:val="nil"/>
              <w:left w:val="nil"/>
              <w:bottom w:val="nil"/>
              <w:right w:val="nil"/>
            </w:tcBorders>
            <w:shd w:val="clear" w:color="auto" w:fill="auto"/>
          </w:tcPr>
          <w:p w:rsidR="00E616B5" w:rsidRPr="00F1612D" w:rsidRDefault="00E616B5" w:rsidP="00595527">
            <w:pPr>
              <w:rPr>
                <w:b/>
                <w:sz w:val="20"/>
              </w:rPr>
            </w:pPr>
            <w:r w:rsidRPr="00F1612D">
              <w:rPr>
                <w:b/>
                <w:sz w:val="20"/>
              </w:rPr>
              <w:t>Zahlungen</w:t>
            </w:r>
          </w:p>
          <w:p w:rsidR="00E616B5" w:rsidRPr="00F1612D" w:rsidRDefault="00E616B5" w:rsidP="00595527">
            <w:pPr>
              <w:rPr>
                <w:sz w:val="20"/>
              </w:rPr>
            </w:pPr>
            <w:r w:rsidRPr="00F1612D">
              <w:rPr>
                <w:sz w:val="20"/>
              </w:rPr>
              <w:t>Der Sicherheitseinbehalt wird nach Abnahme der Leistungen in Verbindung mit der Teil-/Schlusszahlung ausgezahlt.</w:t>
            </w:r>
          </w:p>
          <w:p w:rsidR="006E637C" w:rsidRPr="00F1612D" w:rsidRDefault="006E637C" w:rsidP="00595527">
            <w:pPr>
              <w:rPr>
                <w:sz w:val="20"/>
              </w:rPr>
            </w:pPr>
          </w:p>
        </w:tc>
      </w:tr>
      <w:tr w:rsidR="008B5BFD" w:rsidRPr="00F1612D" w:rsidTr="005D697D">
        <w:tc>
          <w:tcPr>
            <w:tcW w:w="1172" w:type="dxa"/>
            <w:tcBorders>
              <w:top w:val="nil"/>
              <w:left w:val="nil"/>
              <w:bottom w:val="nil"/>
              <w:right w:val="nil"/>
            </w:tcBorders>
            <w:shd w:val="clear" w:color="auto" w:fill="auto"/>
          </w:tcPr>
          <w:p w:rsidR="008B5BFD" w:rsidRPr="00F1612D" w:rsidRDefault="008B5BFD" w:rsidP="008B5BFD">
            <w:pPr>
              <w:rPr>
                <w:b/>
                <w:sz w:val="20"/>
              </w:rPr>
            </w:pPr>
            <w:r w:rsidRPr="00F1612D">
              <w:rPr>
                <w:b/>
                <w:sz w:val="20"/>
              </w:rPr>
              <w:t xml:space="preserve">Zu § 13 </w:t>
            </w:r>
          </w:p>
          <w:p w:rsidR="008B5BFD" w:rsidRPr="00F1612D" w:rsidRDefault="008B5BFD" w:rsidP="006E637C">
            <w:pPr>
              <w:rPr>
                <w:b/>
                <w:sz w:val="20"/>
              </w:rPr>
            </w:pPr>
          </w:p>
        </w:tc>
        <w:tc>
          <w:tcPr>
            <w:tcW w:w="8505" w:type="dxa"/>
            <w:tcBorders>
              <w:top w:val="nil"/>
              <w:left w:val="nil"/>
              <w:bottom w:val="nil"/>
              <w:right w:val="nil"/>
            </w:tcBorders>
            <w:shd w:val="clear" w:color="auto" w:fill="auto"/>
          </w:tcPr>
          <w:p w:rsidR="008B5BFD" w:rsidRPr="00F1612D" w:rsidRDefault="008B5BFD" w:rsidP="008B5BFD">
            <w:pPr>
              <w:rPr>
                <w:b/>
                <w:sz w:val="20"/>
              </w:rPr>
            </w:pPr>
            <w:r w:rsidRPr="00F1612D">
              <w:rPr>
                <w:b/>
                <w:sz w:val="20"/>
              </w:rPr>
              <w:t>Kündigung durch den Auftraggeber</w:t>
            </w:r>
          </w:p>
          <w:p w:rsidR="008B5BFD" w:rsidRPr="00F1612D" w:rsidRDefault="008B5BFD" w:rsidP="008B5BFD">
            <w:pPr>
              <w:rPr>
                <w:sz w:val="20"/>
              </w:rPr>
            </w:pPr>
            <w:r w:rsidRPr="00F1612D">
              <w:rPr>
                <w:sz w:val="20"/>
              </w:rPr>
              <w:t xml:space="preserve">Eine Kündigung bedarf in jedem Falle der juristischen Klärung. </w:t>
            </w:r>
          </w:p>
          <w:p w:rsidR="008B5BFD" w:rsidRPr="00F1612D" w:rsidRDefault="008B5BFD" w:rsidP="00595527">
            <w:pPr>
              <w:rPr>
                <w:b/>
                <w:sz w:val="20"/>
              </w:rPr>
            </w:pPr>
          </w:p>
        </w:tc>
      </w:tr>
      <w:tr w:rsidR="008B5BFD" w:rsidRPr="00F1612D" w:rsidTr="005D697D">
        <w:tc>
          <w:tcPr>
            <w:tcW w:w="1172" w:type="dxa"/>
            <w:tcBorders>
              <w:top w:val="nil"/>
              <w:left w:val="nil"/>
              <w:bottom w:val="nil"/>
              <w:right w:val="nil"/>
            </w:tcBorders>
            <w:shd w:val="clear" w:color="auto" w:fill="auto"/>
          </w:tcPr>
          <w:p w:rsidR="008B5BFD" w:rsidRPr="00F1612D" w:rsidRDefault="008B5BFD" w:rsidP="008B5BFD">
            <w:pPr>
              <w:rPr>
                <w:b/>
                <w:sz w:val="20"/>
              </w:rPr>
            </w:pPr>
          </w:p>
        </w:tc>
        <w:tc>
          <w:tcPr>
            <w:tcW w:w="8505" w:type="dxa"/>
            <w:tcBorders>
              <w:top w:val="nil"/>
              <w:left w:val="nil"/>
              <w:bottom w:val="nil"/>
              <w:right w:val="nil"/>
            </w:tcBorders>
            <w:shd w:val="clear" w:color="auto" w:fill="auto"/>
          </w:tcPr>
          <w:p w:rsidR="008B5BFD" w:rsidRPr="00F1612D" w:rsidRDefault="008B5BFD" w:rsidP="008B5BFD">
            <w:pPr>
              <w:rPr>
                <w:sz w:val="20"/>
              </w:rPr>
            </w:pPr>
            <w:r w:rsidRPr="00F1612D">
              <w:rPr>
                <w:sz w:val="20"/>
              </w:rPr>
              <w:t>Kündigungsgründe können z.B. vorliegen, wenn der Auftragnehmer</w:t>
            </w:r>
          </w:p>
          <w:p w:rsidR="008B5BFD" w:rsidRPr="00F1612D" w:rsidRDefault="008B5BFD" w:rsidP="008B5BFD">
            <w:pPr>
              <w:rPr>
                <w:b/>
                <w:sz w:val="20"/>
              </w:rPr>
            </w:pPr>
          </w:p>
        </w:tc>
      </w:tr>
    </w:tbl>
    <w:tbl>
      <w:tblPr>
        <w:tblStyle w:val="Tabellenraster"/>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72"/>
        <w:gridCol w:w="637"/>
        <w:gridCol w:w="7874"/>
      </w:tblGrid>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rFonts w:cs="Arial"/>
                <w:sz w:val="20"/>
              </w:rPr>
            </w:pPr>
            <w:r w:rsidRPr="00F1612D">
              <w:rPr>
                <w:sz w:val="20"/>
              </w:rPr>
              <w:t>die vertraglichen Ziele (die Quantitäts- und Qualitätsziele, die Kostenziele, insbesondere die Kostenobergrenze, die Termine/Vertragsfristen) nicht einhält, ohne daran begründet gehindert zu sein,</w:t>
            </w:r>
          </w:p>
        </w:tc>
      </w:tr>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rFonts w:cs="Arial"/>
                <w:sz w:val="20"/>
              </w:rPr>
            </w:pPr>
            <w:r w:rsidRPr="00F1612D">
              <w:rPr>
                <w:sz w:val="20"/>
              </w:rPr>
              <w:t>erkannt hat, dass die Einhaltung der Vertragsziele gefährdet ist, den Auftraggeber jedoch darüber nicht unverzüglich unterrichtet hat,</w:t>
            </w:r>
          </w:p>
        </w:tc>
      </w:tr>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rFonts w:cs="Arial"/>
                <w:sz w:val="20"/>
              </w:rPr>
            </w:pPr>
            <w:r w:rsidRPr="00F1612D">
              <w:rPr>
                <w:sz w:val="20"/>
              </w:rPr>
              <w:t>seine Tätigkeit nicht rechtzeitig aufnimmt, sein gegebenenfalls vorzuhaltendes Baubüro nicht ordnungsgemäß personell und/oder sächlich ausgestattet vorhält</w:t>
            </w:r>
            <w:r w:rsidR="00C55A9B" w:rsidRPr="00F1612D">
              <w:rPr>
                <w:sz w:val="20"/>
              </w:rPr>
              <w:t>,</w:t>
            </w:r>
          </w:p>
        </w:tc>
      </w:tr>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rFonts w:cs="Arial"/>
                <w:sz w:val="20"/>
              </w:rPr>
            </w:pPr>
            <w:r w:rsidRPr="00F1612D">
              <w:rPr>
                <w:sz w:val="20"/>
              </w:rPr>
              <w:t>mit seiner Leistungserbringung in Verzug gerät (Schuldnerverzug),</w:t>
            </w:r>
          </w:p>
        </w:tc>
      </w:tr>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sz w:val="20"/>
              </w:rPr>
            </w:pPr>
            <w:r w:rsidRPr="00F1612D">
              <w:rPr>
                <w:sz w:val="20"/>
              </w:rPr>
              <w:t>ohne vorher eingeholte Zustimmung des Auftraggebers Leistungen von Dritten (Nachunternehmern) oder von Mitarbeitern seines Unternehmens/Büros ausführen lässt, die nicht im gemeinsam abgestimmten Mitarbeiterverzeichnis zum Vertrag aufgeführt sind,</w:t>
            </w:r>
          </w:p>
        </w:tc>
      </w:tr>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sz w:val="20"/>
              </w:rPr>
            </w:pPr>
            <w:r w:rsidRPr="00F1612D">
              <w:rPr>
                <w:sz w:val="20"/>
              </w:rPr>
              <w:t>in sonstiger Weise wiederholt oder gravierend gegen die ihm vertraglich obliegenden Verpflichtungen verstößt,</w:t>
            </w:r>
          </w:p>
        </w:tc>
      </w:tr>
      <w:tr w:rsidR="008B5BFD" w:rsidRPr="00F1612D" w:rsidTr="008B5BFD">
        <w:tc>
          <w:tcPr>
            <w:tcW w:w="1172" w:type="dxa"/>
          </w:tcPr>
          <w:p w:rsidR="008B5BFD" w:rsidRPr="00F1612D" w:rsidRDefault="008B5BFD" w:rsidP="0028127F">
            <w:pPr>
              <w:rPr>
                <w:rFonts w:cs="Arial"/>
                <w:sz w:val="20"/>
              </w:rPr>
            </w:pPr>
          </w:p>
        </w:tc>
        <w:tc>
          <w:tcPr>
            <w:tcW w:w="637" w:type="dxa"/>
          </w:tcPr>
          <w:p w:rsidR="008B5BFD" w:rsidRPr="00F1612D" w:rsidRDefault="008B5BFD" w:rsidP="0028127F">
            <w:pPr>
              <w:rPr>
                <w:rFonts w:cs="Arial"/>
                <w:sz w:val="20"/>
              </w:rPr>
            </w:pPr>
            <w:r w:rsidRPr="00F1612D">
              <w:rPr>
                <w:rFonts w:cs="Arial"/>
                <w:sz w:val="20"/>
              </w:rPr>
              <w:t>-</w:t>
            </w:r>
          </w:p>
        </w:tc>
        <w:tc>
          <w:tcPr>
            <w:tcW w:w="7874" w:type="dxa"/>
          </w:tcPr>
          <w:p w:rsidR="008B5BFD" w:rsidRPr="00F1612D" w:rsidRDefault="008B5BFD" w:rsidP="0028127F">
            <w:pPr>
              <w:rPr>
                <w:sz w:val="20"/>
              </w:rPr>
            </w:pPr>
            <w:r w:rsidRPr="00F1612D">
              <w:rPr>
                <w:sz w:val="20"/>
              </w:rPr>
              <w:t>die jeweils dazu vom Auftraggeber gesetzte angemessene Frist mit Kündigungsandrohung zur Einhaltung, Nachholung oder Nacherfüllung seiner Verpflichtungen fruchtlos hat verstreichen lassen.</w:t>
            </w:r>
          </w:p>
          <w:p w:rsidR="008B5BFD" w:rsidRPr="00F1612D" w:rsidRDefault="008B5BFD" w:rsidP="0028127F">
            <w:pPr>
              <w:rPr>
                <w:sz w:val="20"/>
              </w:rPr>
            </w:pPr>
          </w:p>
        </w:tc>
      </w:tr>
    </w:tbl>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8505"/>
      </w:tblGrid>
      <w:tr w:rsidR="00E616B5" w:rsidRPr="00E11D56" w:rsidTr="005D697D">
        <w:tc>
          <w:tcPr>
            <w:tcW w:w="1172" w:type="dxa"/>
            <w:tcBorders>
              <w:top w:val="nil"/>
              <w:left w:val="nil"/>
              <w:bottom w:val="nil"/>
              <w:right w:val="nil"/>
            </w:tcBorders>
            <w:shd w:val="clear" w:color="auto" w:fill="auto"/>
          </w:tcPr>
          <w:p w:rsidR="00E616B5" w:rsidRPr="00F1612D" w:rsidRDefault="00E616B5" w:rsidP="008B5BFD">
            <w:pPr>
              <w:rPr>
                <w:b/>
                <w:sz w:val="20"/>
              </w:rPr>
            </w:pPr>
          </w:p>
        </w:tc>
        <w:tc>
          <w:tcPr>
            <w:tcW w:w="8505" w:type="dxa"/>
            <w:tcBorders>
              <w:top w:val="nil"/>
              <w:left w:val="nil"/>
              <w:bottom w:val="nil"/>
              <w:right w:val="nil"/>
            </w:tcBorders>
            <w:shd w:val="clear" w:color="auto" w:fill="auto"/>
          </w:tcPr>
          <w:p w:rsidR="00E616B5" w:rsidRPr="00E11D56" w:rsidRDefault="00E616B5" w:rsidP="00595527">
            <w:pPr>
              <w:rPr>
                <w:sz w:val="20"/>
              </w:rPr>
            </w:pPr>
            <w:r w:rsidRPr="00F1612D">
              <w:rPr>
                <w:sz w:val="20"/>
              </w:rPr>
              <w:t>Wird der Vertrag mit dem Auftragnehmer gekündigt, so ist auf eine geeignete Trennung zwischen der durch den gekündigten Auftragnehmer erbrachten und ggf. noch zu erbringenden Leistung und der neu zu beauftragenden Leistung zu achten.</w:t>
            </w:r>
          </w:p>
        </w:tc>
      </w:tr>
    </w:tbl>
    <w:p w:rsidR="00595527" w:rsidRPr="00E11D56" w:rsidRDefault="00595527" w:rsidP="00C55A9B">
      <w:pPr>
        <w:rPr>
          <w:sz w:val="20"/>
        </w:rPr>
      </w:pPr>
    </w:p>
    <w:sectPr w:rsidR="00595527" w:rsidRPr="00E11D56" w:rsidSect="00956450">
      <w:headerReference w:type="default" r:id="rId10"/>
      <w:footerReference w:type="default" r:id="rId11"/>
      <w:pgSz w:w="11906" w:h="16838"/>
      <w:pgMar w:top="1701"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30" w:rsidRDefault="00AA5C30" w:rsidP="00A57040">
      <w:r>
        <w:separator/>
      </w:r>
    </w:p>
  </w:endnote>
  <w:endnote w:type="continuationSeparator" w:id="0">
    <w:p w:rsidR="00AA5C30" w:rsidRDefault="00AA5C30" w:rsidP="00A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14" w:rsidRDefault="00B00514" w:rsidP="002C028A">
    <w:pPr>
      <w:pStyle w:val="Fuzeile"/>
      <w:tabs>
        <w:tab w:val="clear" w:pos="9072"/>
        <w:tab w:val="right" w:pos="9498"/>
      </w:tabs>
      <w:rPr>
        <w:rFonts w:cs="Arial"/>
        <w:sz w:val="16"/>
        <w:szCs w:val="16"/>
      </w:rPr>
    </w:pPr>
  </w:p>
  <w:p w:rsidR="00B00514" w:rsidRPr="002C028A" w:rsidRDefault="00B00514" w:rsidP="002C028A">
    <w:pPr>
      <w:pStyle w:val="Fuzeile"/>
      <w:tabs>
        <w:tab w:val="clear" w:pos="9072"/>
        <w:tab w:val="right" w:pos="9498"/>
      </w:tabs>
      <w:rPr>
        <w:rFonts w:cs="Arial"/>
        <w:sz w:val="16"/>
        <w:szCs w:val="16"/>
      </w:rPr>
    </w:pPr>
    <w:r w:rsidRPr="002C028A">
      <w:rPr>
        <w:rFonts w:cs="Arial"/>
        <w:sz w:val="16"/>
        <w:szCs w:val="16"/>
      </w:rPr>
      <w:t xml:space="preserve">©  VHF Bayern  – </w:t>
    </w:r>
    <w:r>
      <w:rPr>
        <w:rFonts w:cs="Arial"/>
        <w:sz w:val="16"/>
        <w:szCs w:val="16"/>
      </w:rPr>
      <w:t xml:space="preserve">Stand </w:t>
    </w:r>
    <w:r w:rsidR="00F1612D">
      <w:rPr>
        <w:rFonts w:cs="Arial"/>
        <w:sz w:val="16"/>
        <w:szCs w:val="16"/>
      </w:rPr>
      <w:t>September 2019</w:t>
    </w:r>
    <w:r w:rsidR="004E1AB6">
      <w:rPr>
        <w:rFonts w:cs="Arial"/>
        <w:sz w:val="16"/>
        <w:szCs w:val="16"/>
      </w:rPr>
      <w:t xml:space="preserve"> – Maßnahmen der Wasserwirtschaft</w:t>
    </w:r>
    <w:r w:rsidRPr="002C028A">
      <w:rPr>
        <w:rFonts w:cs="Arial"/>
      </w:rPr>
      <w:tab/>
    </w:r>
    <w:r w:rsidRPr="002C028A">
      <w:rPr>
        <w:rStyle w:val="Seitenzahl"/>
        <w:rFonts w:cs="Arial"/>
        <w:b w:val="0"/>
        <w:bCs/>
        <w:sz w:val="16"/>
        <w:szCs w:val="16"/>
      </w:rPr>
      <w:fldChar w:fldCharType="begin"/>
    </w:r>
    <w:r w:rsidRPr="002C028A">
      <w:rPr>
        <w:rStyle w:val="Seitenzahl"/>
        <w:rFonts w:cs="Arial"/>
        <w:b w:val="0"/>
        <w:bCs/>
        <w:sz w:val="16"/>
        <w:szCs w:val="16"/>
      </w:rPr>
      <w:instrText xml:space="preserve"> PAGE </w:instrText>
    </w:r>
    <w:r w:rsidRPr="002C028A">
      <w:rPr>
        <w:rStyle w:val="Seitenzahl"/>
        <w:rFonts w:cs="Arial"/>
        <w:b w:val="0"/>
        <w:bCs/>
        <w:sz w:val="16"/>
        <w:szCs w:val="16"/>
      </w:rPr>
      <w:fldChar w:fldCharType="separate"/>
    </w:r>
    <w:r w:rsidR="00187308">
      <w:rPr>
        <w:rStyle w:val="Seitenzahl"/>
        <w:rFonts w:cs="Arial"/>
        <w:b w:val="0"/>
        <w:bCs/>
        <w:noProof/>
        <w:sz w:val="16"/>
        <w:szCs w:val="16"/>
      </w:rPr>
      <w:t>9</w:t>
    </w:r>
    <w:r w:rsidRPr="002C028A">
      <w:rPr>
        <w:rStyle w:val="Seitenzahl"/>
        <w:rFonts w:cs="Arial"/>
        <w:b w:val="0"/>
        <w:bCs/>
        <w:sz w:val="16"/>
        <w:szCs w:val="16"/>
      </w:rPr>
      <w:fldChar w:fldCharType="end"/>
    </w:r>
    <w:r w:rsidRPr="002C028A">
      <w:rPr>
        <w:rStyle w:val="Seitenzahl"/>
        <w:rFonts w:cs="Arial"/>
        <w:b w:val="0"/>
        <w:bCs/>
        <w:sz w:val="16"/>
        <w:szCs w:val="16"/>
      </w:rPr>
      <w:t xml:space="preserve"> von </w:t>
    </w:r>
    <w:r w:rsidRPr="002C028A">
      <w:rPr>
        <w:rStyle w:val="Seitenzahl"/>
        <w:rFonts w:cs="Arial"/>
        <w:b w:val="0"/>
        <w:bCs/>
        <w:sz w:val="16"/>
        <w:szCs w:val="16"/>
      </w:rPr>
      <w:fldChar w:fldCharType="begin"/>
    </w:r>
    <w:r w:rsidRPr="002C028A">
      <w:rPr>
        <w:rStyle w:val="Seitenzahl"/>
        <w:rFonts w:cs="Arial"/>
        <w:b w:val="0"/>
        <w:bCs/>
        <w:sz w:val="16"/>
        <w:szCs w:val="16"/>
      </w:rPr>
      <w:instrText xml:space="preserve"> NUMPAGES </w:instrText>
    </w:r>
    <w:r w:rsidRPr="002C028A">
      <w:rPr>
        <w:rStyle w:val="Seitenzahl"/>
        <w:rFonts w:cs="Arial"/>
        <w:b w:val="0"/>
        <w:bCs/>
        <w:sz w:val="16"/>
        <w:szCs w:val="16"/>
      </w:rPr>
      <w:fldChar w:fldCharType="separate"/>
    </w:r>
    <w:r w:rsidR="00187308">
      <w:rPr>
        <w:rStyle w:val="Seitenzahl"/>
        <w:rFonts w:cs="Arial"/>
        <w:b w:val="0"/>
        <w:bCs/>
        <w:noProof/>
        <w:sz w:val="16"/>
        <w:szCs w:val="16"/>
      </w:rPr>
      <w:t>9</w:t>
    </w:r>
    <w:r w:rsidRPr="002C028A">
      <w:rPr>
        <w:rStyle w:val="Seitenzahl"/>
        <w:rFonts w:cs="Arial"/>
        <w:b w:val="0"/>
        <w:bCs/>
        <w:sz w:val="16"/>
        <w:szCs w:val="16"/>
      </w:rPr>
      <w:fldChar w:fldCharType="end"/>
    </w:r>
  </w:p>
  <w:p w:rsidR="00B00514" w:rsidRDefault="00B00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30" w:rsidRDefault="00AA5C30" w:rsidP="00A57040">
      <w:r>
        <w:separator/>
      </w:r>
    </w:p>
  </w:footnote>
  <w:footnote w:type="continuationSeparator" w:id="0">
    <w:p w:rsidR="00AA5C30" w:rsidRDefault="00AA5C30" w:rsidP="00A5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14" w:rsidRPr="002C028A" w:rsidRDefault="00B00514" w:rsidP="00DE7347">
    <w:pPr>
      <w:pStyle w:val="Kopfzeile"/>
      <w:ind w:right="63"/>
      <w:jc w:val="right"/>
      <w:rPr>
        <w:rFonts w:cs="Arial"/>
        <w:b/>
        <w:sz w:val="28"/>
        <w:szCs w:val="28"/>
      </w:rPr>
    </w:pPr>
    <w:r>
      <w:rPr>
        <w:rFonts w:cs="Arial"/>
        <w:b/>
        <w:sz w:val="28"/>
        <w:szCs w:val="28"/>
      </w:rPr>
      <w:t>VII.</w:t>
    </w:r>
    <w:r w:rsidR="00B935B7">
      <w:rPr>
        <w:rFonts w:cs="Arial"/>
        <w:b/>
        <w:sz w:val="28"/>
        <w:szCs w:val="28"/>
      </w:rPr>
      <w:t>11</w:t>
    </w:r>
    <w:r>
      <w:rPr>
        <w:rFonts w:cs="Arial"/>
        <w:b/>
        <w:sz w:val="28"/>
        <w:szCs w:val="28"/>
      </w:rPr>
      <w:t>.0</w:t>
    </w:r>
    <w:r w:rsidR="00B935B7">
      <w:rPr>
        <w:rFonts w:cs="Arial"/>
        <w:b/>
        <w:sz w:val="28"/>
        <w:szCs w:val="28"/>
      </w:rPr>
      <w:t>.Wa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5"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A0A9E"/>
    <w:multiLevelType w:val="hybridMultilevel"/>
    <w:tmpl w:val="370671F0"/>
    <w:lvl w:ilvl="0" w:tplc="2940F344">
      <w:start w:val="1"/>
      <w:numFmt w:val="bullet"/>
      <w:lvlText w:val="­"/>
      <w:lvlJc w:val="left"/>
      <w:pPr>
        <w:tabs>
          <w:tab w:val="num" w:pos="340"/>
        </w:tabs>
        <w:ind w:left="340" w:hanging="34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B2C4D72"/>
    <w:multiLevelType w:val="hybridMultilevel"/>
    <w:tmpl w:val="C0725194"/>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4" w15:restartNumberingAfterBreak="0">
    <w:nsid w:val="400B160E"/>
    <w:multiLevelType w:val="hybridMultilevel"/>
    <w:tmpl w:val="D4660550"/>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477D37B7"/>
    <w:multiLevelType w:val="hybridMultilevel"/>
    <w:tmpl w:val="72C20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30C63"/>
    <w:multiLevelType w:val="hybridMultilevel"/>
    <w:tmpl w:val="7F7E832C"/>
    <w:lvl w:ilvl="0" w:tplc="3E861734">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6" w15:restartNumberingAfterBreak="0">
    <w:nsid w:val="5D315906"/>
    <w:multiLevelType w:val="hybridMultilevel"/>
    <w:tmpl w:val="138AF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0"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6979235A"/>
    <w:multiLevelType w:val="hybridMultilevel"/>
    <w:tmpl w:val="71FC4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94F22"/>
    <w:multiLevelType w:val="hybridMultilevel"/>
    <w:tmpl w:val="7E26FAB4"/>
    <w:lvl w:ilvl="0" w:tplc="329ACE5E">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9"/>
  </w:num>
  <w:num w:numId="2">
    <w:abstractNumId w:val="19"/>
  </w:num>
  <w:num w:numId="3">
    <w:abstractNumId w:val="13"/>
  </w:num>
  <w:num w:numId="4">
    <w:abstractNumId w:val="4"/>
  </w:num>
  <w:num w:numId="5">
    <w:abstractNumId w:val="23"/>
  </w:num>
  <w:num w:numId="6">
    <w:abstractNumId w:val="7"/>
  </w:num>
  <w:num w:numId="7">
    <w:abstractNumId w:val="21"/>
  </w:num>
  <w:num w:numId="8">
    <w:abstractNumId w:val="1"/>
  </w:num>
  <w:num w:numId="9">
    <w:abstractNumId w:val="29"/>
  </w:num>
  <w:num w:numId="10">
    <w:abstractNumId w:val="12"/>
  </w:num>
  <w:num w:numId="11">
    <w:abstractNumId w:val="6"/>
  </w:num>
  <w:num w:numId="12">
    <w:abstractNumId w:val="30"/>
  </w:num>
  <w:num w:numId="13">
    <w:abstractNumId w:val="2"/>
  </w:num>
  <w:num w:numId="14">
    <w:abstractNumId w:val="15"/>
  </w:num>
  <w:num w:numId="15">
    <w:abstractNumId w:val="16"/>
  </w:num>
  <w:num w:numId="16">
    <w:abstractNumId w:val="37"/>
  </w:num>
  <w:num w:numId="17">
    <w:abstractNumId w:val="24"/>
  </w:num>
  <w:num w:numId="18">
    <w:abstractNumId w:val="3"/>
  </w:num>
  <w:num w:numId="19">
    <w:abstractNumId w:val="28"/>
  </w:num>
  <w:num w:numId="20">
    <w:abstractNumId w:val="25"/>
  </w:num>
  <w:num w:numId="21">
    <w:abstractNumId w:val="27"/>
  </w:num>
  <w:num w:numId="22">
    <w:abstractNumId w:val="35"/>
  </w:num>
  <w:num w:numId="23">
    <w:abstractNumId w:val="36"/>
  </w:num>
  <w:num w:numId="24">
    <w:abstractNumId w:val="5"/>
  </w:num>
  <w:num w:numId="25">
    <w:abstractNumId w:val="32"/>
  </w:num>
  <w:num w:numId="26">
    <w:abstractNumId w:val="18"/>
  </w:num>
  <w:num w:numId="27">
    <w:abstractNumId w:val="22"/>
  </w:num>
  <w:num w:numId="28">
    <w:abstractNumId w:val="20"/>
  </w:num>
  <w:num w:numId="29">
    <w:abstractNumId w:val="34"/>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17"/>
  </w:num>
  <w:num w:numId="35">
    <w:abstractNumId w:val="26"/>
  </w:num>
  <w:num w:numId="36">
    <w:abstractNumId w:val="31"/>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8A"/>
    <w:rsid w:val="00000EFB"/>
    <w:rsid w:val="000133D9"/>
    <w:rsid w:val="00024A35"/>
    <w:rsid w:val="000619E8"/>
    <w:rsid w:val="00061BD3"/>
    <w:rsid w:val="000A0E67"/>
    <w:rsid w:val="000B248E"/>
    <w:rsid w:val="000C0D56"/>
    <w:rsid w:val="000C1D6E"/>
    <w:rsid w:val="000C7D13"/>
    <w:rsid w:val="000E7C8A"/>
    <w:rsid w:val="00100E8D"/>
    <w:rsid w:val="00106F7E"/>
    <w:rsid w:val="00134D5B"/>
    <w:rsid w:val="0014398C"/>
    <w:rsid w:val="00157B1B"/>
    <w:rsid w:val="001671AA"/>
    <w:rsid w:val="001819E5"/>
    <w:rsid w:val="00187308"/>
    <w:rsid w:val="001A577E"/>
    <w:rsid w:val="001A61C0"/>
    <w:rsid w:val="001C1D4B"/>
    <w:rsid w:val="001C70F4"/>
    <w:rsid w:val="001D2F25"/>
    <w:rsid w:val="001F5403"/>
    <w:rsid w:val="0024147D"/>
    <w:rsid w:val="002667E3"/>
    <w:rsid w:val="00274A1B"/>
    <w:rsid w:val="0028127F"/>
    <w:rsid w:val="00284093"/>
    <w:rsid w:val="00287CBA"/>
    <w:rsid w:val="00293D62"/>
    <w:rsid w:val="00295C38"/>
    <w:rsid w:val="002C028A"/>
    <w:rsid w:val="002C7C59"/>
    <w:rsid w:val="002C7FC7"/>
    <w:rsid w:val="00302793"/>
    <w:rsid w:val="00313FF5"/>
    <w:rsid w:val="0036148C"/>
    <w:rsid w:val="00363EEA"/>
    <w:rsid w:val="00365FC7"/>
    <w:rsid w:val="00372C33"/>
    <w:rsid w:val="003825A2"/>
    <w:rsid w:val="00384A52"/>
    <w:rsid w:val="00384D19"/>
    <w:rsid w:val="003A2E66"/>
    <w:rsid w:val="004358D8"/>
    <w:rsid w:val="004463C5"/>
    <w:rsid w:val="004528D8"/>
    <w:rsid w:val="004827B2"/>
    <w:rsid w:val="00495296"/>
    <w:rsid w:val="004B5207"/>
    <w:rsid w:val="004B65EA"/>
    <w:rsid w:val="004E1AB6"/>
    <w:rsid w:val="0050279A"/>
    <w:rsid w:val="005075E9"/>
    <w:rsid w:val="005152BC"/>
    <w:rsid w:val="00517DA6"/>
    <w:rsid w:val="00554D31"/>
    <w:rsid w:val="00574BC5"/>
    <w:rsid w:val="005765DA"/>
    <w:rsid w:val="00595527"/>
    <w:rsid w:val="005A5275"/>
    <w:rsid w:val="005C5F4A"/>
    <w:rsid w:val="005D697D"/>
    <w:rsid w:val="005F4D1F"/>
    <w:rsid w:val="00645ECD"/>
    <w:rsid w:val="00667723"/>
    <w:rsid w:val="00671693"/>
    <w:rsid w:val="00684F0A"/>
    <w:rsid w:val="006870DC"/>
    <w:rsid w:val="00692563"/>
    <w:rsid w:val="006B1C3E"/>
    <w:rsid w:val="006E637C"/>
    <w:rsid w:val="00701747"/>
    <w:rsid w:val="00702AB3"/>
    <w:rsid w:val="007051A7"/>
    <w:rsid w:val="007146E9"/>
    <w:rsid w:val="0073794F"/>
    <w:rsid w:val="00745E99"/>
    <w:rsid w:val="00757788"/>
    <w:rsid w:val="00781F70"/>
    <w:rsid w:val="0079514B"/>
    <w:rsid w:val="007D3562"/>
    <w:rsid w:val="007E2868"/>
    <w:rsid w:val="007F051C"/>
    <w:rsid w:val="008331F1"/>
    <w:rsid w:val="00851843"/>
    <w:rsid w:val="008519EE"/>
    <w:rsid w:val="00864BD0"/>
    <w:rsid w:val="00893661"/>
    <w:rsid w:val="008A0975"/>
    <w:rsid w:val="008B5019"/>
    <w:rsid w:val="008B5BFD"/>
    <w:rsid w:val="008C61CD"/>
    <w:rsid w:val="008D29EE"/>
    <w:rsid w:val="008E1ECE"/>
    <w:rsid w:val="008F7ED9"/>
    <w:rsid w:val="0090227F"/>
    <w:rsid w:val="009108C7"/>
    <w:rsid w:val="00910BE0"/>
    <w:rsid w:val="009122A5"/>
    <w:rsid w:val="00913AC0"/>
    <w:rsid w:val="00932E66"/>
    <w:rsid w:val="00935681"/>
    <w:rsid w:val="00956450"/>
    <w:rsid w:val="009B63AD"/>
    <w:rsid w:val="009B76DA"/>
    <w:rsid w:val="009C7211"/>
    <w:rsid w:val="00A00652"/>
    <w:rsid w:val="00A03B1C"/>
    <w:rsid w:val="00A122C7"/>
    <w:rsid w:val="00A31E73"/>
    <w:rsid w:val="00A37B69"/>
    <w:rsid w:val="00A42910"/>
    <w:rsid w:val="00A530E9"/>
    <w:rsid w:val="00A53902"/>
    <w:rsid w:val="00A57040"/>
    <w:rsid w:val="00A631E3"/>
    <w:rsid w:val="00A65106"/>
    <w:rsid w:val="00A97B18"/>
    <w:rsid w:val="00AA4A34"/>
    <w:rsid w:val="00AA5C30"/>
    <w:rsid w:val="00AA6D48"/>
    <w:rsid w:val="00AB35BF"/>
    <w:rsid w:val="00AE1BE7"/>
    <w:rsid w:val="00B00514"/>
    <w:rsid w:val="00B07D07"/>
    <w:rsid w:val="00B14EBE"/>
    <w:rsid w:val="00B363C6"/>
    <w:rsid w:val="00B53AD2"/>
    <w:rsid w:val="00B718DA"/>
    <w:rsid w:val="00B84DB3"/>
    <w:rsid w:val="00B935B7"/>
    <w:rsid w:val="00B96B79"/>
    <w:rsid w:val="00BC4DDC"/>
    <w:rsid w:val="00BE696D"/>
    <w:rsid w:val="00BF5575"/>
    <w:rsid w:val="00C001D3"/>
    <w:rsid w:val="00C05ECB"/>
    <w:rsid w:val="00C06259"/>
    <w:rsid w:val="00C14521"/>
    <w:rsid w:val="00C17CA8"/>
    <w:rsid w:val="00C22E85"/>
    <w:rsid w:val="00C44C64"/>
    <w:rsid w:val="00C47F6A"/>
    <w:rsid w:val="00C50DB6"/>
    <w:rsid w:val="00C546C3"/>
    <w:rsid w:val="00C55A9B"/>
    <w:rsid w:val="00C61F97"/>
    <w:rsid w:val="00C6311D"/>
    <w:rsid w:val="00C709F9"/>
    <w:rsid w:val="00CA642B"/>
    <w:rsid w:val="00CB3C96"/>
    <w:rsid w:val="00CC293D"/>
    <w:rsid w:val="00CD02FA"/>
    <w:rsid w:val="00CE1464"/>
    <w:rsid w:val="00CE289D"/>
    <w:rsid w:val="00D1155A"/>
    <w:rsid w:val="00D25AB5"/>
    <w:rsid w:val="00D302DE"/>
    <w:rsid w:val="00D51E61"/>
    <w:rsid w:val="00D663C1"/>
    <w:rsid w:val="00D937A7"/>
    <w:rsid w:val="00DA12FE"/>
    <w:rsid w:val="00DA3AEB"/>
    <w:rsid w:val="00DB6530"/>
    <w:rsid w:val="00DE61AF"/>
    <w:rsid w:val="00DE7347"/>
    <w:rsid w:val="00DF3664"/>
    <w:rsid w:val="00DF4D89"/>
    <w:rsid w:val="00E11D56"/>
    <w:rsid w:val="00E179F3"/>
    <w:rsid w:val="00E4466A"/>
    <w:rsid w:val="00E56D74"/>
    <w:rsid w:val="00E616B5"/>
    <w:rsid w:val="00E7435D"/>
    <w:rsid w:val="00E8221D"/>
    <w:rsid w:val="00EB2F00"/>
    <w:rsid w:val="00EB700D"/>
    <w:rsid w:val="00EC0813"/>
    <w:rsid w:val="00EC6A9C"/>
    <w:rsid w:val="00ED5221"/>
    <w:rsid w:val="00EF14FD"/>
    <w:rsid w:val="00F03CC0"/>
    <w:rsid w:val="00F12077"/>
    <w:rsid w:val="00F1612D"/>
    <w:rsid w:val="00F34138"/>
    <w:rsid w:val="00F346C9"/>
    <w:rsid w:val="00F70B38"/>
    <w:rsid w:val="00F959E9"/>
    <w:rsid w:val="00FC5BFA"/>
    <w:rsid w:val="00FE3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015397C-A9B3-4057-B7B7-DC33B571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028A"/>
    <w:pPr>
      <w:widowControl w:val="0"/>
      <w:jc w:val="both"/>
    </w:pPr>
    <w:rPr>
      <w:rFonts w:ascii="Arial" w:hAnsi="Arial"/>
      <w:sz w:val="18"/>
    </w:rPr>
  </w:style>
  <w:style w:type="paragraph" w:styleId="berschrift1">
    <w:name w:val="heading 1"/>
    <w:aliases w:val="Überschrift1Vertrag"/>
    <w:basedOn w:val="Standard"/>
    <w:next w:val="Standard"/>
    <w:link w:val="berschrift1Zchn"/>
    <w:autoRedefine/>
    <w:qFormat/>
    <w:rsid w:val="00E616B5"/>
    <w:pPr>
      <w:keepNext/>
      <w:widowControl/>
      <w:numPr>
        <w:numId w:val="31"/>
      </w:numPr>
      <w:tabs>
        <w:tab w:val="clear" w:pos="567"/>
        <w:tab w:val="left" w:pos="720"/>
      </w:tabs>
      <w:ind w:left="720" w:hanging="720"/>
      <w:jc w:val="center"/>
      <w:outlineLvl w:val="0"/>
    </w:pPr>
    <w:rPr>
      <w:rFonts w:cs="Arial"/>
      <w:b/>
      <w:kern w:val="28"/>
      <w:sz w:val="16"/>
      <w:szCs w:val="16"/>
    </w:rPr>
  </w:style>
  <w:style w:type="paragraph" w:styleId="berschrift2">
    <w:name w:val="heading 2"/>
    <w:aliases w:val="Überschrift2Vertrag"/>
    <w:basedOn w:val="Standard"/>
    <w:next w:val="Standard"/>
    <w:link w:val="berschrift2Zchn"/>
    <w:qFormat/>
    <w:rsid w:val="00E616B5"/>
    <w:pPr>
      <w:numPr>
        <w:ilvl w:val="1"/>
        <w:numId w:val="31"/>
      </w:numPr>
      <w:tabs>
        <w:tab w:val="left" w:pos="851"/>
        <w:tab w:val="left" w:pos="5954"/>
        <w:tab w:val="left" w:pos="7088"/>
        <w:tab w:val="left" w:pos="9072"/>
      </w:tabs>
      <w:spacing w:before="60" w:after="120"/>
      <w:outlineLvl w:val="1"/>
    </w:pPr>
    <w:rPr>
      <w:rFonts w:cs="Arial"/>
      <w:sz w:val="16"/>
      <w:szCs w:val="16"/>
    </w:rPr>
  </w:style>
  <w:style w:type="paragraph" w:styleId="berschrift3">
    <w:name w:val="heading 3"/>
    <w:aliases w:val="Überschrift3Vertrag"/>
    <w:basedOn w:val="Standard"/>
    <w:next w:val="Standard"/>
    <w:link w:val="berschrift3Zchn"/>
    <w:autoRedefine/>
    <w:qFormat/>
    <w:rsid w:val="00E616B5"/>
    <w:pPr>
      <w:widowControl/>
      <w:numPr>
        <w:ilvl w:val="2"/>
        <w:numId w:val="31"/>
      </w:numPr>
      <w:tabs>
        <w:tab w:val="clear" w:pos="747"/>
        <w:tab w:val="left" w:pos="720"/>
      </w:tabs>
      <w:ind w:left="720" w:firstLine="540"/>
      <w:outlineLvl w:val="2"/>
    </w:pPr>
    <w:rPr>
      <w:rFonts w:cs="Arial"/>
      <w:sz w:val="16"/>
      <w:szCs w:val="16"/>
    </w:rPr>
  </w:style>
  <w:style w:type="paragraph" w:styleId="berschrift4">
    <w:name w:val="heading 4"/>
    <w:aliases w:val="Überschrift4Vertrag"/>
    <w:basedOn w:val="Standard"/>
    <w:next w:val="Standard"/>
    <w:link w:val="berschrift4Zchn"/>
    <w:autoRedefine/>
    <w:qFormat/>
    <w:rsid w:val="00E616B5"/>
    <w:pPr>
      <w:keepNext/>
      <w:widowControl/>
      <w:numPr>
        <w:ilvl w:val="3"/>
        <w:numId w:val="31"/>
      </w:numPr>
      <w:spacing w:before="60" w:after="60"/>
      <w:jc w:val="left"/>
      <w:outlineLvl w:val="3"/>
    </w:pPr>
    <w:rPr>
      <w:rFonts w:cs="Arial"/>
      <w:sz w:val="16"/>
      <w:szCs w:val="16"/>
    </w:rPr>
  </w:style>
  <w:style w:type="paragraph" w:styleId="berschrift5">
    <w:name w:val="heading 5"/>
    <w:basedOn w:val="Standard"/>
    <w:next w:val="Standard"/>
    <w:link w:val="berschrift5Zchn"/>
    <w:qFormat/>
    <w:rsid w:val="00E616B5"/>
    <w:pPr>
      <w:widowControl/>
      <w:numPr>
        <w:ilvl w:val="4"/>
        <w:numId w:val="31"/>
      </w:numPr>
      <w:spacing w:before="240"/>
      <w:jc w:val="left"/>
      <w:outlineLvl w:val="4"/>
    </w:pPr>
    <w:rPr>
      <w:rFonts w:cs="Arial"/>
      <w:sz w:val="22"/>
      <w:szCs w:val="22"/>
    </w:rPr>
  </w:style>
  <w:style w:type="paragraph" w:styleId="berschrift6">
    <w:name w:val="heading 6"/>
    <w:basedOn w:val="Standard"/>
    <w:next w:val="Standard"/>
    <w:link w:val="berschrift6Zchn"/>
    <w:qFormat/>
    <w:rsid w:val="00E616B5"/>
    <w:pPr>
      <w:widowControl/>
      <w:numPr>
        <w:ilvl w:val="5"/>
        <w:numId w:val="31"/>
      </w:numPr>
      <w:spacing w:before="240"/>
      <w:jc w:val="left"/>
      <w:outlineLvl w:val="5"/>
    </w:pPr>
    <w:rPr>
      <w:rFonts w:cs="Arial"/>
      <w:sz w:val="22"/>
      <w:szCs w:val="22"/>
    </w:rPr>
  </w:style>
  <w:style w:type="paragraph" w:styleId="berschrift7">
    <w:name w:val="heading 7"/>
    <w:basedOn w:val="Standard"/>
    <w:next w:val="Standard"/>
    <w:link w:val="berschrift7Zchn"/>
    <w:qFormat/>
    <w:rsid w:val="00E616B5"/>
    <w:pPr>
      <w:widowControl/>
      <w:numPr>
        <w:ilvl w:val="6"/>
        <w:numId w:val="31"/>
      </w:numPr>
      <w:spacing w:before="240"/>
      <w:jc w:val="left"/>
      <w:outlineLvl w:val="6"/>
    </w:pPr>
    <w:rPr>
      <w:rFonts w:cs="Arial"/>
      <w:sz w:val="20"/>
    </w:rPr>
  </w:style>
  <w:style w:type="paragraph" w:styleId="berschrift8">
    <w:name w:val="heading 8"/>
    <w:basedOn w:val="Standard"/>
    <w:next w:val="Standard"/>
    <w:link w:val="berschrift8Zchn"/>
    <w:qFormat/>
    <w:rsid w:val="00E616B5"/>
    <w:pPr>
      <w:widowControl/>
      <w:numPr>
        <w:ilvl w:val="7"/>
        <w:numId w:val="31"/>
      </w:numPr>
      <w:spacing w:before="240"/>
      <w:jc w:val="left"/>
      <w:outlineLvl w:val="7"/>
    </w:pPr>
    <w:rPr>
      <w:rFonts w:cs="Arial"/>
      <w:sz w:val="20"/>
    </w:rPr>
  </w:style>
  <w:style w:type="paragraph" w:styleId="berschrift9">
    <w:name w:val="heading 9"/>
    <w:basedOn w:val="Standard"/>
    <w:next w:val="Standard"/>
    <w:link w:val="berschrift9Zchn"/>
    <w:qFormat/>
    <w:rsid w:val="00E616B5"/>
    <w:pPr>
      <w:widowControl/>
      <w:numPr>
        <w:ilvl w:val="8"/>
        <w:numId w:val="31"/>
      </w:numPr>
      <w:spacing w:before="240"/>
      <w:jc w:val="left"/>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C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2C028A"/>
    <w:pPr>
      <w:tabs>
        <w:tab w:val="center" w:pos="4536"/>
        <w:tab w:val="right" w:pos="9072"/>
      </w:tabs>
    </w:pPr>
  </w:style>
  <w:style w:type="paragraph" w:styleId="Fuzeile">
    <w:name w:val="footer"/>
    <w:aliases w:val="FußzeileRBBau"/>
    <w:basedOn w:val="Standard"/>
    <w:rsid w:val="002C028A"/>
    <w:pPr>
      <w:tabs>
        <w:tab w:val="center" w:pos="4536"/>
        <w:tab w:val="right" w:pos="9072"/>
      </w:tabs>
    </w:pPr>
  </w:style>
  <w:style w:type="character" w:styleId="Seitenzahl">
    <w:name w:val="page number"/>
    <w:basedOn w:val="Absatz-Standardschriftart"/>
    <w:rsid w:val="002C028A"/>
    <w:rPr>
      <w:rFonts w:ascii="Arial" w:hAnsi="Arial"/>
      <w:b/>
      <w:dstrike w:val="0"/>
      <w:sz w:val="24"/>
      <w:vertAlign w:val="baseline"/>
    </w:rPr>
  </w:style>
  <w:style w:type="paragraph" w:customStyle="1" w:styleId="1linkeSpalte">
    <w:name w:val="Ü1linkeSpalte"/>
    <w:basedOn w:val="Standard"/>
    <w:next w:val="Standard"/>
    <w:autoRedefine/>
    <w:rsid w:val="002C028A"/>
    <w:pPr>
      <w:tabs>
        <w:tab w:val="left" w:pos="227"/>
      </w:tabs>
      <w:ind w:left="-103" w:right="-113"/>
      <w:jc w:val="left"/>
    </w:pPr>
    <w:rPr>
      <w:sz w:val="16"/>
      <w:szCs w:val="16"/>
    </w:rPr>
  </w:style>
  <w:style w:type="paragraph" w:customStyle="1" w:styleId="AnstrichTabelle">
    <w:name w:val="AnstrichTabelle"/>
    <w:basedOn w:val="Standard"/>
    <w:autoRedefine/>
    <w:rsid w:val="002C028A"/>
    <w:pPr>
      <w:widowControl/>
      <w:tabs>
        <w:tab w:val="left" w:pos="129"/>
        <w:tab w:val="right" w:pos="3348"/>
      </w:tabs>
      <w:ind w:left="9" w:firstLine="2"/>
    </w:pPr>
    <w:rPr>
      <w:sz w:val="16"/>
      <w:szCs w:val="16"/>
    </w:rPr>
  </w:style>
  <w:style w:type="paragraph" w:customStyle="1" w:styleId="Standard1">
    <w:name w:val="Standard1"/>
    <w:basedOn w:val="Standard"/>
    <w:rsid w:val="002C028A"/>
    <w:pPr>
      <w:widowControl/>
    </w:pPr>
  </w:style>
  <w:style w:type="paragraph" w:customStyle="1" w:styleId="2linkeSpalte">
    <w:name w:val="Ü2linkeSpalte"/>
    <w:basedOn w:val="Standard"/>
    <w:next w:val="Standard"/>
    <w:rsid w:val="002C028A"/>
    <w:pPr>
      <w:tabs>
        <w:tab w:val="left" w:pos="680"/>
        <w:tab w:val="left" w:pos="794"/>
      </w:tabs>
      <w:ind w:left="680" w:hanging="340"/>
      <w:jc w:val="left"/>
    </w:pPr>
    <w:rPr>
      <w:rFonts w:ascii="Univers 55" w:hAnsi="Univers 55"/>
      <w:sz w:val="16"/>
    </w:rPr>
  </w:style>
  <w:style w:type="paragraph" w:customStyle="1" w:styleId="2linkeSpalteChar">
    <w:name w:val="Ü2linkeSpalte Char"/>
    <w:basedOn w:val="Standard"/>
    <w:next w:val="Standard"/>
    <w:link w:val="2linkeSpalteCharChar"/>
    <w:rsid w:val="002C028A"/>
    <w:pPr>
      <w:tabs>
        <w:tab w:val="left" w:pos="680"/>
        <w:tab w:val="left" w:pos="794"/>
      </w:tabs>
      <w:ind w:left="680" w:hanging="340"/>
    </w:pPr>
  </w:style>
  <w:style w:type="character" w:customStyle="1" w:styleId="2linkeSpalteCharChar">
    <w:name w:val="Ü2linkeSpalte Char Char"/>
    <w:basedOn w:val="Absatz-Standardschriftart"/>
    <w:link w:val="2linkeSpalteChar"/>
    <w:rsid w:val="002C028A"/>
    <w:rPr>
      <w:rFonts w:ascii="Arial" w:hAnsi="Arial"/>
      <w:sz w:val="18"/>
      <w:lang w:val="de-DE" w:eastAsia="de-DE" w:bidi="ar-SA"/>
    </w:rPr>
  </w:style>
  <w:style w:type="paragraph" w:customStyle="1" w:styleId="Formatvorlage2linkeSpalte9ptKapitlchenChar">
    <w:name w:val="Formatvorlage Ü2linkeSpalte + 9 pt Kapitälchen Char"/>
    <w:basedOn w:val="2linkeSpalteChar"/>
    <w:link w:val="Formatvorlage2linkeSpalte9ptKapitlchenCharChar"/>
    <w:rsid w:val="007E2868"/>
    <w:rPr>
      <w:szCs w:val="18"/>
    </w:rPr>
  </w:style>
  <w:style w:type="character" w:customStyle="1" w:styleId="Formatvorlage2linkeSpalte9ptKapitlchenCharChar">
    <w:name w:val="Formatvorlage Ü2linkeSpalte + 9 pt Kapitälchen Char Char"/>
    <w:basedOn w:val="2linkeSpalteCharChar"/>
    <w:link w:val="Formatvorlage2linkeSpalte9ptKapitlchenChar"/>
    <w:rsid w:val="007E2868"/>
    <w:rPr>
      <w:rFonts w:ascii="Arial" w:hAnsi="Arial"/>
      <w:sz w:val="18"/>
      <w:szCs w:val="18"/>
      <w:lang w:val="de-DE" w:eastAsia="de-DE" w:bidi="ar-SA"/>
    </w:rPr>
  </w:style>
  <w:style w:type="paragraph" w:styleId="Sprechblasentext">
    <w:name w:val="Balloon Text"/>
    <w:basedOn w:val="Standard"/>
    <w:semiHidden/>
    <w:rsid w:val="000A0E67"/>
    <w:rPr>
      <w:rFonts w:ascii="Tahoma" w:hAnsi="Tahoma" w:cs="Tahoma"/>
      <w:sz w:val="16"/>
      <w:szCs w:val="16"/>
    </w:rPr>
  </w:style>
  <w:style w:type="paragraph" w:styleId="Listenabsatz">
    <w:name w:val="List Paragraph"/>
    <w:basedOn w:val="Standard"/>
    <w:uiPriority w:val="34"/>
    <w:qFormat/>
    <w:rsid w:val="00A31E73"/>
    <w:pPr>
      <w:ind w:left="720"/>
      <w:contextualSpacing/>
    </w:pPr>
  </w:style>
  <w:style w:type="character" w:customStyle="1" w:styleId="berschrift1Zchn">
    <w:name w:val="Überschrift 1 Zchn"/>
    <w:aliases w:val="Überschrift1Vertrag Zchn"/>
    <w:basedOn w:val="Absatz-Standardschriftart"/>
    <w:link w:val="berschrift1"/>
    <w:rsid w:val="00E616B5"/>
    <w:rPr>
      <w:rFonts w:ascii="Arial" w:hAnsi="Arial" w:cs="Arial"/>
      <w:b/>
      <w:kern w:val="28"/>
      <w:sz w:val="16"/>
      <w:szCs w:val="16"/>
    </w:rPr>
  </w:style>
  <w:style w:type="character" w:customStyle="1" w:styleId="berschrift2Zchn">
    <w:name w:val="Überschrift 2 Zchn"/>
    <w:aliases w:val="Überschrift2Vertrag Zchn"/>
    <w:basedOn w:val="Absatz-Standardschriftart"/>
    <w:link w:val="berschrift2"/>
    <w:rsid w:val="00E616B5"/>
    <w:rPr>
      <w:rFonts w:ascii="Arial" w:hAnsi="Arial" w:cs="Arial"/>
      <w:sz w:val="16"/>
      <w:szCs w:val="16"/>
    </w:rPr>
  </w:style>
  <w:style w:type="character" w:customStyle="1" w:styleId="berschrift3Zchn">
    <w:name w:val="Überschrift 3 Zchn"/>
    <w:aliases w:val="Überschrift3Vertrag Zchn"/>
    <w:basedOn w:val="Absatz-Standardschriftart"/>
    <w:link w:val="berschrift3"/>
    <w:rsid w:val="00E616B5"/>
    <w:rPr>
      <w:rFonts w:ascii="Arial" w:hAnsi="Arial" w:cs="Arial"/>
      <w:sz w:val="16"/>
      <w:szCs w:val="16"/>
    </w:rPr>
  </w:style>
  <w:style w:type="character" w:customStyle="1" w:styleId="berschrift4Zchn">
    <w:name w:val="Überschrift 4 Zchn"/>
    <w:aliases w:val="Überschrift4Vertrag Zchn"/>
    <w:basedOn w:val="Absatz-Standardschriftart"/>
    <w:link w:val="berschrift4"/>
    <w:rsid w:val="00E616B5"/>
    <w:rPr>
      <w:rFonts w:ascii="Arial" w:hAnsi="Arial" w:cs="Arial"/>
      <w:sz w:val="16"/>
      <w:szCs w:val="16"/>
    </w:rPr>
  </w:style>
  <w:style w:type="character" w:customStyle="1" w:styleId="berschrift5Zchn">
    <w:name w:val="Überschrift 5 Zchn"/>
    <w:basedOn w:val="Absatz-Standardschriftart"/>
    <w:link w:val="berschrift5"/>
    <w:rsid w:val="00E616B5"/>
    <w:rPr>
      <w:rFonts w:ascii="Arial" w:hAnsi="Arial" w:cs="Arial"/>
      <w:sz w:val="22"/>
      <w:szCs w:val="22"/>
    </w:rPr>
  </w:style>
  <w:style w:type="character" w:customStyle="1" w:styleId="berschrift6Zchn">
    <w:name w:val="Überschrift 6 Zchn"/>
    <w:basedOn w:val="Absatz-Standardschriftart"/>
    <w:link w:val="berschrift6"/>
    <w:rsid w:val="00E616B5"/>
    <w:rPr>
      <w:rFonts w:ascii="Arial" w:hAnsi="Arial" w:cs="Arial"/>
      <w:sz w:val="22"/>
      <w:szCs w:val="22"/>
    </w:rPr>
  </w:style>
  <w:style w:type="character" w:customStyle="1" w:styleId="berschrift7Zchn">
    <w:name w:val="Überschrift 7 Zchn"/>
    <w:basedOn w:val="Absatz-Standardschriftart"/>
    <w:link w:val="berschrift7"/>
    <w:rsid w:val="00E616B5"/>
    <w:rPr>
      <w:rFonts w:ascii="Arial" w:hAnsi="Arial" w:cs="Arial"/>
    </w:rPr>
  </w:style>
  <w:style w:type="character" w:customStyle="1" w:styleId="berschrift8Zchn">
    <w:name w:val="Überschrift 8 Zchn"/>
    <w:basedOn w:val="Absatz-Standardschriftart"/>
    <w:link w:val="berschrift8"/>
    <w:rsid w:val="00E616B5"/>
    <w:rPr>
      <w:rFonts w:ascii="Arial" w:hAnsi="Arial" w:cs="Arial"/>
    </w:rPr>
  </w:style>
  <w:style w:type="character" w:customStyle="1" w:styleId="berschrift9Zchn">
    <w:name w:val="Überschrift 9 Zchn"/>
    <w:basedOn w:val="Absatz-Standardschriftart"/>
    <w:link w:val="berschrift9"/>
    <w:rsid w:val="00E616B5"/>
    <w:rPr>
      <w:rFonts w:ascii="Arial" w:hAnsi="Arial" w:cs="Arial"/>
      <w:sz w:val="18"/>
      <w:szCs w:val="18"/>
    </w:rPr>
  </w:style>
  <w:style w:type="numbering" w:customStyle="1" w:styleId="KeineListe1">
    <w:name w:val="Keine Liste1"/>
    <w:next w:val="KeineListe"/>
    <w:semiHidden/>
    <w:rsid w:val="00E616B5"/>
  </w:style>
  <w:style w:type="paragraph" w:styleId="Textkrper-Einzug3">
    <w:name w:val="Body Text Indent 3"/>
    <w:basedOn w:val="Standard"/>
    <w:link w:val="Textkrper-Einzug3Zchn"/>
    <w:rsid w:val="00E616B5"/>
    <w:pPr>
      <w:widowControl/>
      <w:ind w:left="1416" w:hanging="1416"/>
    </w:pPr>
    <w:rPr>
      <w:rFonts w:ascii="Times New Roman" w:hAnsi="Times New Roman"/>
      <w:sz w:val="16"/>
      <w:szCs w:val="24"/>
    </w:rPr>
  </w:style>
  <w:style w:type="character" w:customStyle="1" w:styleId="Textkrper-Einzug3Zchn">
    <w:name w:val="Textkörper-Einzug 3 Zchn"/>
    <w:basedOn w:val="Absatz-Standardschriftart"/>
    <w:link w:val="Textkrper-Einzug3"/>
    <w:rsid w:val="00E616B5"/>
    <w:rPr>
      <w:sz w:val="16"/>
      <w:szCs w:val="24"/>
    </w:rPr>
  </w:style>
  <w:style w:type="paragraph" w:styleId="Textkrper-Einzug2">
    <w:name w:val="Body Text Indent 2"/>
    <w:basedOn w:val="Standard"/>
    <w:link w:val="Textkrper-Einzug2Zchn"/>
    <w:rsid w:val="00E616B5"/>
    <w:pPr>
      <w:widowControl/>
      <w:spacing w:after="120" w:line="480" w:lineRule="auto"/>
      <w:ind w:left="283"/>
      <w:jc w:val="left"/>
    </w:pPr>
    <w:rPr>
      <w:rFonts w:ascii="Times New Roman" w:hAnsi="Times New Roman"/>
      <w:sz w:val="24"/>
      <w:szCs w:val="24"/>
    </w:rPr>
  </w:style>
  <w:style w:type="character" w:customStyle="1" w:styleId="Textkrper-Einzug2Zchn">
    <w:name w:val="Textkörper-Einzug 2 Zchn"/>
    <w:basedOn w:val="Absatz-Standardschriftart"/>
    <w:link w:val="Textkrper-Einzug2"/>
    <w:rsid w:val="00E616B5"/>
    <w:rPr>
      <w:sz w:val="24"/>
      <w:szCs w:val="24"/>
    </w:rPr>
  </w:style>
  <w:style w:type="paragraph" w:styleId="Textkrper-Zeileneinzug">
    <w:name w:val="Body Text Indent"/>
    <w:basedOn w:val="Standard"/>
    <w:link w:val="Textkrper-ZeileneinzugZchn"/>
    <w:rsid w:val="00E616B5"/>
    <w:pPr>
      <w:widowControl/>
      <w:spacing w:after="120" w:line="360" w:lineRule="auto"/>
      <w:ind w:left="283"/>
      <w:jc w:val="left"/>
    </w:pPr>
    <w:rPr>
      <w:rFonts w:cs="Arial"/>
      <w:sz w:val="24"/>
      <w:szCs w:val="24"/>
    </w:rPr>
  </w:style>
  <w:style w:type="character" w:customStyle="1" w:styleId="Textkrper-ZeileneinzugZchn">
    <w:name w:val="Textkörper-Zeileneinzug Zchn"/>
    <w:basedOn w:val="Absatz-Standardschriftart"/>
    <w:link w:val="Textkrper-Zeileneinzug"/>
    <w:rsid w:val="00E616B5"/>
    <w:rPr>
      <w:rFonts w:ascii="Arial" w:hAnsi="Arial" w:cs="Arial"/>
      <w:sz w:val="24"/>
      <w:szCs w:val="24"/>
    </w:rPr>
  </w:style>
  <w:style w:type="paragraph" w:styleId="Funotentext">
    <w:name w:val="footnote text"/>
    <w:basedOn w:val="Standard"/>
    <w:link w:val="FunotentextZchn"/>
    <w:rsid w:val="00E616B5"/>
    <w:pPr>
      <w:widowControl/>
      <w:jc w:val="left"/>
    </w:pPr>
    <w:rPr>
      <w:rFonts w:ascii="Times New Roman" w:hAnsi="Times New Roman"/>
      <w:sz w:val="20"/>
    </w:rPr>
  </w:style>
  <w:style w:type="character" w:customStyle="1" w:styleId="FunotentextZchn">
    <w:name w:val="Fußnotentext Zchn"/>
    <w:basedOn w:val="Absatz-Standardschriftart"/>
    <w:link w:val="Funotentext"/>
    <w:rsid w:val="00E616B5"/>
  </w:style>
  <w:style w:type="character" w:styleId="Funotenzeichen">
    <w:name w:val="footnote reference"/>
    <w:rsid w:val="00E616B5"/>
    <w:rPr>
      <w:vertAlign w:val="superscript"/>
    </w:rPr>
  </w:style>
  <w:style w:type="character" w:styleId="Kommentarzeichen">
    <w:name w:val="annotation reference"/>
    <w:rsid w:val="00E616B5"/>
    <w:rPr>
      <w:sz w:val="16"/>
      <w:szCs w:val="16"/>
    </w:rPr>
  </w:style>
  <w:style w:type="paragraph" w:styleId="Kommentartext">
    <w:name w:val="annotation text"/>
    <w:basedOn w:val="Standard"/>
    <w:link w:val="KommentartextZchn"/>
    <w:rsid w:val="00E616B5"/>
    <w:pPr>
      <w:widowControl/>
      <w:spacing w:line="360" w:lineRule="auto"/>
      <w:jc w:val="left"/>
    </w:pPr>
    <w:rPr>
      <w:sz w:val="20"/>
    </w:rPr>
  </w:style>
  <w:style w:type="character" w:customStyle="1" w:styleId="KommentartextZchn">
    <w:name w:val="Kommentartext Zchn"/>
    <w:basedOn w:val="Absatz-Standardschriftart"/>
    <w:link w:val="Kommentartext"/>
    <w:rsid w:val="00E616B5"/>
    <w:rPr>
      <w:rFonts w:ascii="Arial" w:hAnsi="Arial"/>
    </w:rPr>
  </w:style>
  <w:style w:type="paragraph" w:customStyle="1" w:styleId="Ansricheingerckt">
    <w:name w:val="Ansricheingerückt"/>
    <w:basedOn w:val="Standard"/>
    <w:next w:val="Standard"/>
    <w:autoRedefine/>
    <w:rsid w:val="00E616B5"/>
    <w:pPr>
      <w:widowControl/>
      <w:tabs>
        <w:tab w:val="left" w:pos="1134"/>
      </w:tabs>
      <w:spacing w:before="40" w:after="40"/>
      <w:ind w:left="1135" w:hanging="284"/>
      <w:jc w:val="left"/>
    </w:pPr>
    <w:rPr>
      <w:rFonts w:ascii="Univers 55" w:hAnsi="Univers 55"/>
      <w:sz w:val="16"/>
    </w:rPr>
  </w:style>
  <w:style w:type="paragraph" w:styleId="berarbeitung">
    <w:name w:val="Revision"/>
    <w:hidden/>
    <w:uiPriority w:val="99"/>
    <w:semiHidden/>
    <w:rsid w:val="00E616B5"/>
    <w:rPr>
      <w:sz w:val="24"/>
      <w:szCs w:val="24"/>
    </w:rPr>
  </w:style>
  <w:style w:type="paragraph" w:styleId="Kommentarthema">
    <w:name w:val="annotation subject"/>
    <w:basedOn w:val="Kommentartext"/>
    <w:next w:val="Kommentartext"/>
    <w:link w:val="KommentarthemaZchn"/>
    <w:rsid w:val="00C6311D"/>
    <w:pPr>
      <w:widowControl w:val="0"/>
      <w:spacing w:line="240" w:lineRule="auto"/>
      <w:jc w:val="both"/>
    </w:pPr>
    <w:rPr>
      <w:b/>
      <w:bCs/>
    </w:rPr>
  </w:style>
  <w:style w:type="character" w:customStyle="1" w:styleId="KommentarthemaZchn">
    <w:name w:val="Kommentarthema Zchn"/>
    <w:basedOn w:val="KommentartextZchn"/>
    <w:link w:val="Kommentarthema"/>
    <w:rsid w:val="00C6311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80D4-BDBA-4850-979E-3AB9D954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3644</Words>
  <Characters>23523</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VII.11.0.Wa</vt:lpstr>
    </vt:vector>
  </TitlesOfParts>
  <Company>StMB</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VII.11.0.Wa</dc:title>
  <dc:subject>VII.11.0.Wa Richtlinie</dc:subject>
  <dc:creator>Z5</dc:creator>
  <cp:lastModifiedBy>Rieger, Angelika (StMB)</cp:lastModifiedBy>
  <cp:revision>20</cp:revision>
  <cp:lastPrinted>2014-08-19T08:41:00Z</cp:lastPrinted>
  <dcterms:created xsi:type="dcterms:W3CDTF">2019-09-03T13:26:00Z</dcterms:created>
  <dcterms:modified xsi:type="dcterms:W3CDTF">2019-11-06T11:17:00Z</dcterms:modified>
</cp:coreProperties>
</file>