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D8B" w:rsidRDefault="00514D8B">
      <w:pPr>
        <w:tabs>
          <w:tab w:val="left" w:pos="567"/>
        </w:tabs>
        <w:spacing w:line="260" w:lineRule="exact"/>
        <w:rPr>
          <w:rFonts w:cs="Arial"/>
          <w:sz w:val="18"/>
          <w:szCs w:val="18"/>
        </w:rPr>
      </w:pPr>
    </w:p>
    <w:p w:rsidR="00514D8B" w:rsidRDefault="00EE4096">
      <w:pPr>
        <w:spacing w:line="260" w:lineRule="exact"/>
        <w:rPr>
          <w:rFonts w:cs="Arial"/>
          <w:b/>
          <w:color w:val="00CCFF"/>
          <w:sz w:val="22"/>
          <w:szCs w:val="22"/>
        </w:rPr>
      </w:pPr>
      <w:r>
        <w:rPr>
          <w:rFonts w:cs="Arial"/>
          <w:b/>
          <w:color w:val="00CCFF"/>
          <w:sz w:val="22"/>
          <w:szCs w:val="22"/>
        </w:rPr>
        <w:tab/>
        <w:t>Energieliefervertrag</w:t>
      </w:r>
    </w:p>
    <w:p w:rsidR="00514D8B" w:rsidRDefault="00514D8B">
      <w:pPr>
        <w:tabs>
          <w:tab w:val="left" w:pos="567"/>
        </w:tabs>
        <w:spacing w:line="260" w:lineRule="exact"/>
        <w:rPr>
          <w:rFonts w:cs="Arial"/>
          <w:sz w:val="18"/>
          <w:szCs w:val="18"/>
        </w:rPr>
      </w:pPr>
    </w:p>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bCs/>
          <w:sz w:val="18"/>
          <w:szCs w:val="18"/>
        </w:rPr>
      </w:pPr>
      <w:r>
        <w:rPr>
          <w:rFonts w:cs="Arial"/>
          <w:b/>
          <w:sz w:val="18"/>
          <w:szCs w:val="18"/>
        </w:rPr>
        <w:tab/>
      </w:r>
      <w:r>
        <w:rPr>
          <w:rFonts w:cs="Arial"/>
          <w:bCs/>
          <w:sz w:val="18"/>
          <w:szCs w:val="18"/>
        </w:rPr>
        <w:t xml:space="preserve">Der </w:t>
      </w:r>
      <w:r>
        <w:rPr>
          <w:rFonts w:cs="Arial"/>
          <w:b/>
          <w:sz w:val="18"/>
          <w:szCs w:val="18"/>
        </w:rPr>
        <w:t>Freistaat Bayern</w:t>
      </w:r>
    </w:p>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r>
        <w:rPr>
          <w:rFonts w:cs="Arial"/>
          <w:sz w:val="18"/>
          <w:szCs w:val="18"/>
        </w:rPr>
        <w:tab/>
        <w:t xml:space="preserve">vertreten durch die </w:t>
      </w:r>
    </w:p>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b/>
          <w:bCs/>
          <w:sz w:val="18"/>
          <w:szCs w:val="18"/>
        </w:rPr>
      </w:pPr>
      <w:r>
        <w:rPr>
          <w:rFonts w:cs="Arial"/>
          <w:sz w:val="18"/>
          <w:szCs w:val="18"/>
        </w:rPr>
        <w:tab/>
      </w:r>
      <w:r>
        <w:rPr>
          <w:rFonts w:cs="Arial"/>
          <w:b/>
          <w:bCs/>
          <w:sz w:val="18"/>
          <w:szCs w:val="18"/>
        </w:rPr>
        <w:t>Immobilien Freistaat Bayern</w:t>
      </w:r>
    </w:p>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r>
        <w:rPr>
          <w:rFonts w:cs="Arial"/>
          <w:b/>
          <w:bCs/>
          <w:sz w:val="18"/>
          <w:szCs w:val="18"/>
        </w:rPr>
        <w:tab/>
        <w:t>Regionalvertretung</w:t>
      </w:r>
    </w:p>
    <w:tbl>
      <w:tblPr>
        <w:tblW w:w="8676" w:type="dxa"/>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ayout w:type="fixed"/>
        <w:tblLook w:val="0000" w:firstRow="0" w:lastRow="0" w:firstColumn="0" w:lastColumn="0" w:noHBand="0" w:noVBand="0"/>
      </w:tblPr>
      <w:tblGrid>
        <w:gridCol w:w="8676"/>
      </w:tblGrid>
      <w:tr w:rsidR="00514D8B">
        <w:trPr>
          <w:trHeight w:val="1110"/>
        </w:trPr>
        <w:tc>
          <w:tcPr>
            <w:tcW w:w="8676" w:type="dxa"/>
            <w:shd w:val="clear" w:color="auto" w:fill="FFFF00"/>
          </w:tcPr>
          <w:bookmarkStart w:id="0" w:name="Text50"/>
          <w:p w:rsidR="00514D8B" w:rsidRDefault="00EE4096">
            <w:pPr>
              <w:pStyle w:val="Linien"/>
              <w:rPr>
                <w:bCs/>
                <w:color w:val="000000"/>
                <w:szCs w:val="18"/>
              </w:rPr>
            </w:pPr>
            <w:r>
              <w:rPr>
                <w:bCs/>
                <w:color w:val="000000"/>
                <w:szCs w:val="18"/>
                <w:highlight w:val="yellow"/>
              </w:rPr>
              <w:fldChar w:fldCharType="begin">
                <w:ffData>
                  <w:name w:val="Text50"/>
                  <w:enabled/>
                  <w:calcOnExit w:val="0"/>
                  <w:textInput>
                    <w:default w:val="Bezeichnung"/>
                  </w:textInput>
                </w:ffData>
              </w:fldChar>
            </w:r>
            <w:r>
              <w:rPr>
                <w:bCs/>
                <w:color w:val="000000"/>
                <w:szCs w:val="18"/>
                <w:highlight w:val="yellow"/>
              </w:rPr>
              <w:instrText xml:space="preserve"> FORMTEXT </w:instrText>
            </w:r>
            <w:r>
              <w:rPr>
                <w:bCs/>
                <w:color w:val="000000"/>
                <w:szCs w:val="18"/>
                <w:highlight w:val="yellow"/>
              </w:rPr>
            </w:r>
            <w:r>
              <w:rPr>
                <w:bCs/>
                <w:color w:val="000000"/>
                <w:szCs w:val="18"/>
                <w:highlight w:val="yellow"/>
              </w:rPr>
              <w:fldChar w:fldCharType="separate"/>
            </w:r>
            <w:bookmarkStart w:id="1" w:name="_GoBack"/>
            <w:r>
              <w:rPr>
                <w:bCs/>
                <w:noProof/>
                <w:color w:val="000000"/>
                <w:szCs w:val="18"/>
                <w:highlight w:val="yellow"/>
              </w:rPr>
              <w:t>Bezeichnung</w:t>
            </w:r>
            <w:bookmarkEnd w:id="1"/>
            <w:r>
              <w:rPr>
                <w:bCs/>
                <w:color w:val="000000"/>
                <w:szCs w:val="18"/>
                <w:highlight w:val="yellow"/>
              </w:rPr>
              <w:fldChar w:fldCharType="end"/>
            </w:r>
            <w:bookmarkEnd w:id="0"/>
          </w:p>
        </w:tc>
      </w:tr>
    </w:tbl>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r>
        <w:rPr>
          <w:rFonts w:cs="Arial"/>
          <w:sz w:val="18"/>
          <w:szCs w:val="18"/>
        </w:rPr>
        <w:tab/>
        <w:t>– nachstehend als „</w:t>
      </w:r>
      <w:r>
        <w:rPr>
          <w:rFonts w:cs="Arial"/>
          <w:b/>
          <w:sz w:val="18"/>
          <w:szCs w:val="18"/>
        </w:rPr>
        <w:t>Verpächter</w:t>
      </w:r>
      <w:r>
        <w:rPr>
          <w:rFonts w:cs="Arial"/>
          <w:sz w:val="18"/>
          <w:szCs w:val="18"/>
        </w:rPr>
        <w:t>“ bezeichnet –</w:t>
      </w:r>
    </w:p>
    <w:p w:rsidR="00514D8B" w:rsidRDefault="00514D8B">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p>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r>
        <w:rPr>
          <w:rFonts w:cs="Arial"/>
          <w:sz w:val="18"/>
          <w:szCs w:val="18"/>
        </w:rPr>
        <w:tab/>
        <w:t xml:space="preserve">sowie vertreten durch das </w:t>
      </w:r>
      <w:r>
        <w:rPr>
          <w:rFonts w:cs="Arial"/>
          <w:b/>
          <w:bCs/>
          <w:sz w:val="18"/>
          <w:szCs w:val="18"/>
        </w:rPr>
        <w:t>Bayerische Staatsministerium</w:t>
      </w:r>
    </w:p>
    <w:tbl>
      <w:tblPr>
        <w:tblW w:w="0" w:type="auto"/>
        <w:tblInd w:w="640"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ook w:val="0000" w:firstRow="0" w:lastRow="0" w:firstColumn="0" w:lastColumn="0" w:noHBand="0" w:noVBand="0"/>
      </w:tblPr>
      <w:tblGrid>
        <w:gridCol w:w="8646"/>
      </w:tblGrid>
      <w:tr w:rsidR="00514D8B">
        <w:trPr>
          <w:trHeight w:val="1110"/>
        </w:trPr>
        <w:tc>
          <w:tcPr>
            <w:tcW w:w="8646" w:type="dxa"/>
            <w:shd w:val="clear" w:color="auto" w:fill="FFFF00"/>
          </w:tcPr>
          <w:p w:rsidR="00514D8B" w:rsidRDefault="00EE4096">
            <w:pPr>
              <w:pStyle w:val="Linien"/>
              <w:rPr>
                <w:bCs/>
                <w:color w:val="000000"/>
                <w:szCs w:val="18"/>
              </w:rPr>
            </w:pPr>
            <w:r>
              <w:rPr>
                <w:bCs/>
                <w:color w:val="000000"/>
                <w:szCs w:val="18"/>
                <w:highlight w:val="yellow"/>
              </w:rPr>
              <w:fldChar w:fldCharType="begin">
                <w:ffData>
                  <w:name w:val="Text51"/>
                  <w:enabled/>
                  <w:calcOnExit w:val="0"/>
                  <w:textInput>
                    <w:default w:val="Fachressort"/>
                  </w:textInput>
                </w:ffData>
              </w:fldChar>
            </w:r>
            <w:r>
              <w:rPr>
                <w:bCs/>
                <w:color w:val="000000"/>
                <w:szCs w:val="18"/>
                <w:highlight w:val="yellow"/>
              </w:rPr>
              <w:instrText xml:space="preserve"> FORMTEXT </w:instrText>
            </w:r>
            <w:r>
              <w:rPr>
                <w:bCs/>
                <w:color w:val="000000"/>
                <w:szCs w:val="18"/>
                <w:highlight w:val="yellow"/>
              </w:rPr>
            </w:r>
            <w:r>
              <w:rPr>
                <w:bCs/>
                <w:color w:val="000000"/>
                <w:szCs w:val="18"/>
                <w:highlight w:val="yellow"/>
              </w:rPr>
              <w:fldChar w:fldCharType="separate"/>
            </w:r>
            <w:r>
              <w:rPr>
                <w:bCs/>
                <w:noProof/>
                <w:color w:val="000000"/>
                <w:szCs w:val="18"/>
                <w:highlight w:val="yellow"/>
              </w:rPr>
              <w:t>Fachressort</w:t>
            </w:r>
            <w:r>
              <w:rPr>
                <w:bCs/>
                <w:color w:val="000000"/>
                <w:szCs w:val="18"/>
                <w:highlight w:val="yellow"/>
              </w:rPr>
              <w:fldChar w:fldCharType="end"/>
            </w:r>
          </w:p>
        </w:tc>
      </w:tr>
    </w:tbl>
    <w:p w:rsidR="00514D8B" w:rsidRDefault="00514D8B">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p>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color w:val="000000"/>
          <w:sz w:val="18"/>
          <w:szCs w:val="18"/>
        </w:rPr>
      </w:pPr>
      <w:r>
        <w:rPr>
          <w:rFonts w:cs="Arial"/>
          <w:sz w:val="18"/>
          <w:szCs w:val="18"/>
        </w:rPr>
        <w:tab/>
        <w:t xml:space="preserve">dieses vertreten durch die </w:t>
      </w:r>
      <w:r>
        <w:rPr>
          <w:rFonts w:cs="Arial"/>
          <w:b/>
          <w:color w:val="000000"/>
          <w:sz w:val="18"/>
          <w:szCs w:val="18"/>
        </w:rPr>
        <w:t>Grundbesitz bewirtschaftende Dienststelle</w:t>
      </w:r>
    </w:p>
    <w:tbl>
      <w:tblPr>
        <w:tblW w:w="8676" w:type="dxa"/>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ayout w:type="fixed"/>
        <w:tblLook w:val="0000" w:firstRow="0" w:lastRow="0" w:firstColumn="0" w:lastColumn="0" w:noHBand="0" w:noVBand="0"/>
      </w:tblPr>
      <w:tblGrid>
        <w:gridCol w:w="8676"/>
      </w:tblGrid>
      <w:tr w:rsidR="00514D8B">
        <w:trPr>
          <w:trHeight w:val="1110"/>
        </w:trPr>
        <w:tc>
          <w:tcPr>
            <w:tcW w:w="8676" w:type="dxa"/>
            <w:shd w:val="clear" w:color="auto" w:fill="FFFF00"/>
          </w:tcPr>
          <w:p w:rsidR="00514D8B" w:rsidRDefault="00EE4096">
            <w:pPr>
              <w:pStyle w:val="Linien"/>
              <w:rPr>
                <w:bCs/>
                <w:color w:val="000000"/>
                <w:szCs w:val="18"/>
              </w:rPr>
            </w:pPr>
            <w:r>
              <w:rPr>
                <w:bCs/>
                <w:color w:val="000000"/>
                <w:szCs w:val="18"/>
                <w:highlight w:val="yellow"/>
              </w:rPr>
              <w:fldChar w:fldCharType="begin">
                <w:ffData>
                  <w:name w:val="Text50"/>
                  <w:enabled/>
                  <w:calcOnExit w:val="0"/>
                  <w:textInput>
                    <w:default w:val="Bezeichnung"/>
                  </w:textInput>
                </w:ffData>
              </w:fldChar>
            </w:r>
            <w:r>
              <w:rPr>
                <w:bCs/>
                <w:color w:val="000000"/>
                <w:szCs w:val="18"/>
                <w:highlight w:val="yellow"/>
              </w:rPr>
              <w:instrText xml:space="preserve"> FORMTEXT </w:instrText>
            </w:r>
            <w:r>
              <w:rPr>
                <w:bCs/>
                <w:color w:val="000000"/>
                <w:szCs w:val="18"/>
                <w:highlight w:val="yellow"/>
              </w:rPr>
            </w:r>
            <w:r>
              <w:rPr>
                <w:bCs/>
                <w:color w:val="000000"/>
                <w:szCs w:val="18"/>
                <w:highlight w:val="yellow"/>
              </w:rPr>
              <w:fldChar w:fldCharType="separate"/>
            </w:r>
            <w:r>
              <w:rPr>
                <w:bCs/>
                <w:noProof/>
                <w:color w:val="000000"/>
                <w:szCs w:val="18"/>
                <w:highlight w:val="yellow"/>
              </w:rPr>
              <w:t>Bezeichnung</w:t>
            </w:r>
            <w:r>
              <w:rPr>
                <w:bCs/>
                <w:color w:val="000000"/>
                <w:szCs w:val="18"/>
                <w:highlight w:val="yellow"/>
              </w:rPr>
              <w:fldChar w:fldCharType="end"/>
            </w:r>
          </w:p>
        </w:tc>
      </w:tr>
    </w:tbl>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r>
        <w:rPr>
          <w:rFonts w:cs="Arial"/>
          <w:sz w:val="18"/>
          <w:szCs w:val="18"/>
        </w:rPr>
        <w:tab/>
        <w:t>– nachstehend als „</w:t>
      </w:r>
      <w:r>
        <w:rPr>
          <w:rFonts w:cs="Arial"/>
          <w:b/>
          <w:sz w:val="18"/>
          <w:szCs w:val="18"/>
        </w:rPr>
        <w:t>Auftraggeber</w:t>
      </w:r>
      <w:r>
        <w:rPr>
          <w:rFonts w:cs="Arial"/>
          <w:sz w:val="18"/>
          <w:szCs w:val="18"/>
        </w:rPr>
        <w:t>“ bezeichnet –</w:t>
      </w:r>
    </w:p>
    <w:p w:rsidR="00514D8B" w:rsidRDefault="00514D8B">
      <w:pPr>
        <w:pStyle w:val="Standard0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p>
    <w:p w:rsidR="00514D8B" w:rsidRDefault="00EE4096">
      <w:pPr>
        <w:pStyle w:val="Standard0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ind w:firstLine="567"/>
        <w:jc w:val="left"/>
        <w:rPr>
          <w:rFonts w:cs="Arial"/>
          <w:bCs/>
          <w:sz w:val="18"/>
          <w:szCs w:val="18"/>
        </w:rPr>
      </w:pPr>
      <w:r>
        <w:rPr>
          <w:rFonts w:cs="Arial"/>
          <w:bCs/>
          <w:sz w:val="18"/>
          <w:szCs w:val="18"/>
        </w:rPr>
        <w:t xml:space="preserve">und die </w:t>
      </w:r>
      <w:r>
        <w:rPr>
          <w:rFonts w:cs="Arial"/>
          <w:b/>
          <w:sz w:val="18"/>
          <w:szCs w:val="18"/>
        </w:rPr>
        <w:t>Firma</w:t>
      </w:r>
      <w:r>
        <w:rPr>
          <w:rFonts w:cs="Arial"/>
          <w:bCs/>
          <w:sz w:val="18"/>
          <w:szCs w:val="18"/>
        </w:rPr>
        <w:t xml:space="preserve"> </w:t>
      </w:r>
    </w:p>
    <w:tbl>
      <w:tblPr>
        <w:tblW w:w="8676" w:type="dxa"/>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ayout w:type="fixed"/>
        <w:tblLook w:val="0000" w:firstRow="0" w:lastRow="0" w:firstColumn="0" w:lastColumn="0" w:noHBand="0" w:noVBand="0"/>
      </w:tblPr>
      <w:tblGrid>
        <w:gridCol w:w="8676"/>
      </w:tblGrid>
      <w:tr w:rsidR="00514D8B">
        <w:trPr>
          <w:trHeight w:val="1110"/>
        </w:trPr>
        <w:tc>
          <w:tcPr>
            <w:tcW w:w="8676" w:type="dxa"/>
            <w:shd w:val="clear" w:color="auto" w:fill="FFFF00"/>
          </w:tcPr>
          <w:p w:rsidR="00514D8B" w:rsidRDefault="00EE4096">
            <w:pPr>
              <w:pStyle w:val="Linien"/>
              <w:rPr>
                <w:bCs/>
                <w:color w:val="000000"/>
                <w:szCs w:val="18"/>
              </w:rPr>
            </w:pPr>
            <w:r>
              <w:rPr>
                <w:bCs/>
                <w:color w:val="000000"/>
                <w:szCs w:val="18"/>
                <w:highlight w:val="yellow"/>
              </w:rPr>
              <w:fldChar w:fldCharType="begin">
                <w:ffData>
                  <w:name w:val="Text50"/>
                  <w:enabled/>
                  <w:calcOnExit w:val="0"/>
                  <w:textInput>
                    <w:default w:val="Bezeichnung"/>
                  </w:textInput>
                </w:ffData>
              </w:fldChar>
            </w:r>
            <w:r>
              <w:rPr>
                <w:bCs/>
                <w:color w:val="000000"/>
                <w:szCs w:val="18"/>
                <w:highlight w:val="yellow"/>
              </w:rPr>
              <w:instrText xml:space="preserve"> FORMTEXT </w:instrText>
            </w:r>
            <w:r>
              <w:rPr>
                <w:bCs/>
                <w:color w:val="000000"/>
                <w:szCs w:val="18"/>
                <w:highlight w:val="yellow"/>
              </w:rPr>
            </w:r>
            <w:r>
              <w:rPr>
                <w:bCs/>
                <w:color w:val="000000"/>
                <w:szCs w:val="18"/>
                <w:highlight w:val="yellow"/>
              </w:rPr>
              <w:fldChar w:fldCharType="separate"/>
            </w:r>
            <w:r>
              <w:rPr>
                <w:bCs/>
                <w:noProof/>
                <w:color w:val="000000"/>
                <w:szCs w:val="18"/>
                <w:highlight w:val="yellow"/>
              </w:rPr>
              <w:t>Bezeichnung</w:t>
            </w:r>
            <w:r>
              <w:rPr>
                <w:bCs/>
                <w:color w:val="000000"/>
                <w:szCs w:val="18"/>
                <w:highlight w:val="yellow"/>
              </w:rPr>
              <w:fldChar w:fldCharType="end"/>
            </w:r>
          </w:p>
        </w:tc>
      </w:tr>
    </w:tbl>
    <w:p w:rsidR="00514D8B" w:rsidRDefault="00EE4096">
      <w:pPr>
        <w:pStyle w:val="Standard00"/>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jc w:val="left"/>
        <w:rPr>
          <w:rFonts w:cs="Arial"/>
          <w:sz w:val="18"/>
          <w:szCs w:val="18"/>
        </w:rPr>
      </w:pPr>
      <w:r>
        <w:rPr>
          <w:rFonts w:cs="Arial"/>
          <w:sz w:val="18"/>
          <w:szCs w:val="18"/>
        </w:rPr>
        <w:tab/>
        <w:t>– nachstehend als „</w:t>
      </w:r>
      <w:r>
        <w:rPr>
          <w:rFonts w:cs="Arial"/>
          <w:b/>
          <w:sz w:val="18"/>
          <w:szCs w:val="18"/>
        </w:rPr>
        <w:t>Auftragnehmer</w:t>
      </w:r>
      <w:r>
        <w:rPr>
          <w:rFonts w:cs="Arial"/>
          <w:sz w:val="18"/>
          <w:szCs w:val="18"/>
        </w:rPr>
        <w:t>“ bezeichnet –</w:t>
      </w:r>
    </w:p>
    <w:p w:rsidR="00514D8B" w:rsidRDefault="00514D8B">
      <w:pPr>
        <w:pStyle w:val="Standard0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ind w:firstLine="567"/>
        <w:jc w:val="left"/>
        <w:rPr>
          <w:sz w:val="18"/>
          <w:szCs w:val="18"/>
        </w:rPr>
      </w:pPr>
    </w:p>
    <w:p w:rsidR="00514D8B" w:rsidRDefault="00EE4096">
      <w:pPr>
        <w:pStyle w:val="Standard0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spacing w:before="0" w:line="260" w:lineRule="exact"/>
        <w:ind w:firstLine="567"/>
        <w:jc w:val="left"/>
        <w:rPr>
          <w:sz w:val="18"/>
          <w:szCs w:val="18"/>
        </w:rPr>
      </w:pPr>
      <w:r>
        <w:rPr>
          <w:sz w:val="18"/>
          <w:szCs w:val="18"/>
        </w:rPr>
        <w:t xml:space="preserve">schließen zur Versorgung des </w:t>
      </w:r>
      <w:r>
        <w:rPr>
          <w:b/>
          <w:sz w:val="18"/>
          <w:szCs w:val="18"/>
        </w:rPr>
        <w:t>Grundstücks</w:t>
      </w:r>
    </w:p>
    <w:tbl>
      <w:tblPr>
        <w:tblW w:w="8581" w:type="dxa"/>
        <w:tblInd w:w="593" w:type="dxa"/>
        <w:tblBorders>
          <w:top w:val="single" w:sz="4" w:space="0" w:color="auto"/>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000" w:firstRow="0" w:lastRow="0" w:firstColumn="0" w:lastColumn="0" w:noHBand="0" w:noVBand="0"/>
      </w:tblPr>
      <w:tblGrid>
        <w:gridCol w:w="2673"/>
        <w:gridCol w:w="5908"/>
      </w:tblGrid>
      <w:tr w:rsidR="00514D8B">
        <w:trPr>
          <w:cantSplit/>
          <w:trHeight w:hRule="exact" w:val="1245"/>
        </w:trPr>
        <w:tc>
          <w:tcPr>
            <w:tcW w:w="2673" w:type="dxa"/>
            <w:shd w:val="clear" w:color="auto" w:fill="auto"/>
          </w:tcPr>
          <w:p w:rsidR="00514D8B" w:rsidRDefault="00EE4096">
            <w:pPr>
              <w:spacing w:before="20" w:after="40" w:line="260" w:lineRule="exact"/>
              <w:ind w:left="113"/>
              <w:rPr>
                <w:rFonts w:cs="Arial"/>
                <w:sz w:val="18"/>
                <w:szCs w:val="18"/>
              </w:rPr>
            </w:pPr>
            <w:r>
              <w:rPr>
                <w:sz w:val="18"/>
                <w:szCs w:val="18"/>
              </w:rPr>
              <w:t xml:space="preserve">Straße </w:t>
            </w:r>
            <w:r>
              <w:rPr>
                <w:rFonts w:cs="Arial"/>
                <w:sz w:val="18"/>
                <w:szCs w:val="18"/>
              </w:rPr>
              <w:t>und Hausnummer:</w:t>
            </w:r>
          </w:p>
          <w:p w:rsidR="00514D8B" w:rsidRDefault="00514D8B">
            <w:pPr>
              <w:spacing w:before="20" w:after="40" w:line="260" w:lineRule="exact"/>
              <w:ind w:left="113"/>
              <w:rPr>
                <w:rFonts w:cs="Arial"/>
                <w:sz w:val="18"/>
                <w:szCs w:val="18"/>
              </w:rPr>
            </w:pPr>
          </w:p>
          <w:p w:rsidR="00514D8B" w:rsidRDefault="00514D8B">
            <w:pPr>
              <w:spacing w:before="20" w:after="40" w:line="260" w:lineRule="exact"/>
              <w:ind w:left="113"/>
              <w:rPr>
                <w:rFonts w:cs="Arial"/>
                <w:sz w:val="18"/>
                <w:szCs w:val="18"/>
              </w:rPr>
            </w:pPr>
          </w:p>
          <w:p w:rsidR="00514D8B" w:rsidRDefault="00EE4096">
            <w:pPr>
              <w:spacing w:before="20" w:after="40" w:line="260" w:lineRule="exact"/>
              <w:ind w:left="113"/>
              <w:rPr>
                <w:rFonts w:cs="Arial"/>
                <w:sz w:val="18"/>
                <w:szCs w:val="18"/>
              </w:rPr>
            </w:pPr>
            <w:r>
              <w:rPr>
                <w:rFonts w:cs="Arial"/>
                <w:sz w:val="18"/>
                <w:szCs w:val="18"/>
              </w:rPr>
              <w:t>PLZ und Ort</w:t>
            </w:r>
            <w:r>
              <w:rPr>
                <w:sz w:val="18"/>
                <w:szCs w:val="18"/>
              </w:rPr>
              <w:t>:</w:t>
            </w:r>
          </w:p>
        </w:tc>
        <w:tc>
          <w:tcPr>
            <w:tcW w:w="5908" w:type="dxa"/>
            <w:shd w:val="clear" w:color="auto" w:fill="FFFF00"/>
          </w:tcPr>
          <w:p w:rsidR="00514D8B" w:rsidRDefault="00EE4096">
            <w:pPr>
              <w:spacing w:before="20" w:after="40" w:line="260" w:lineRule="exact"/>
              <w:ind w:left="113"/>
              <w:rPr>
                <w:rFonts w:cs="Arial"/>
                <w:sz w:val="18"/>
                <w:szCs w:val="18"/>
              </w:rPr>
            </w:pPr>
            <w:r>
              <w:rPr>
                <w:rFonts w:cs="Arial"/>
                <w:sz w:val="18"/>
                <w:szCs w:val="18"/>
              </w:rPr>
              <w:fldChar w:fldCharType="begin">
                <w:ffData>
                  <w:name w:val="Text54"/>
                  <w:enabled/>
                  <w:calcOnExit w:val="0"/>
                  <w:textInput/>
                </w:ffData>
              </w:fldChar>
            </w:r>
            <w:bookmarkStart w:id="2" w:name="Text54"/>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bookmarkEnd w:id="2"/>
          </w:p>
        </w:tc>
      </w:tr>
    </w:tbl>
    <w:p w:rsidR="00514D8B" w:rsidRDefault="00EE4096">
      <w:pPr>
        <w:tabs>
          <w:tab w:val="left" w:pos="567"/>
        </w:tabs>
        <w:spacing w:line="260" w:lineRule="exact"/>
        <w:rPr>
          <w:sz w:val="18"/>
          <w:szCs w:val="18"/>
        </w:rPr>
      </w:pPr>
      <w:r>
        <w:rPr>
          <w:sz w:val="18"/>
          <w:szCs w:val="18"/>
        </w:rPr>
        <w:tab/>
        <w:t xml:space="preserve">- nachfolgend als </w:t>
      </w:r>
      <w:r>
        <w:rPr>
          <w:b/>
          <w:sz w:val="18"/>
          <w:szCs w:val="18"/>
        </w:rPr>
        <w:t>„Liegenschaft“</w:t>
      </w:r>
      <w:r>
        <w:rPr>
          <w:sz w:val="18"/>
          <w:szCs w:val="18"/>
        </w:rPr>
        <w:t xml:space="preserve"> bezeichnet -</w:t>
      </w:r>
    </w:p>
    <w:p w:rsidR="00514D8B" w:rsidRDefault="00514D8B">
      <w:pPr>
        <w:tabs>
          <w:tab w:val="left" w:pos="567"/>
        </w:tabs>
        <w:spacing w:line="260" w:lineRule="exact"/>
        <w:rPr>
          <w:sz w:val="18"/>
          <w:szCs w:val="18"/>
        </w:rPr>
      </w:pPr>
    </w:p>
    <w:p w:rsidR="00514D8B" w:rsidRDefault="00EE4096">
      <w:pPr>
        <w:tabs>
          <w:tab w:val="left" w:pos="567"/>
        </w:tabs>
        <w:spacing w:line="260" w:lineRule="exact"/>
        <w:rPr>
          <w:sz w:val="18"/>
          <w:szCs w:val="18"/>
        </w:rPr>
      </w:pPr>
      <w:r>
        <w:rPr>
          <w:sz w:val="18"/>
          <w:szCs w:val="18"/>
        </w:rPr>
        <w:tab/>
        <w:t>aus einer zu errichtenden Energiezentrale</w:t>
      </w:r>
    </w:p>
    <w:p w:rsidR="00514D8B" w:rsidRDefault="00EE4096">
      <w:pPr>
        <w:tabs>
          <w:tab w:val="left" w:pos="567"/>
        </w:tabs>
        <w:spacing w:line="260" w:lineRule="exact"/>
        <w:rPr>
          <w:sz w:val="18"/>
          <w:szCs w:val="18"/>
        </w:rPr>
      </w:pPr>
      <w:r>
        <w:rPr>
          <w:sz w:val="18"/>
          <w:szCs w:val="18"/>
        </w:rPr>
        <w:tab/>
        <w:t>und/oder durch Anschluss an ein Fernwärmenetz</w:t>
      </w:r>
    </w:p>
    <w:p w:rsidR="00514D8B" w:rsidRDefault="00EE4096">
      <w:pPr>
        <w:tabs>
          <w:tab w:val="left" w:pos="567"/>
        </w:tabs>
        <w:spacing w:line="260" w:lineRule="exact"/>
        <w:rPr>
          <w:sz w:val="18"/>
          <w:szCs w:val="18"/>
        </w:rPr>
      </w:pPr>
      <w:r>
        <w:rPr>
          <w:rFonts w:cs="Arial"/>
          <w:sz w:val="18"/>
          <w:szCs w:val="18"/>
        </w:rPr>
        <w:tab/>
        <w:t>folgenden Energieliefervertrag:</w:t>
      </w:r>
    </w:p>
    <w:p w:rsidR="00514D8B" w:rsidRDefault="00514D8B">
      <w:pPr>
        <w:tabs>
          <w:tab w:val="left" w:pos="567"/>
        </w:tabs>
        <w:spacing w:line="260" w:lineRule="exact"/>
        <w:rPr>
          <w:sz w:val="18"/>
          <w:szCs w:val="18"/>
        </w:rPr>
      </w:pPr>
    </w:p>
    <w:p w:rsidR="00514D8B" w:rsidRDefault="00514D8B">
      <w:pPr>
        <w:tabs>
          <w:tab w:val="left" w:pos="567"/>
        </w:tabs>
        <w:spacing w:line="260" w:lineRule="exact"/>
        <w:rPr>
          <w:sz w:val="18"/>
          <w:szCs w:val="18"/>
        </w:rPr>
      </w:pPr>
    </w:p>
    <w:p w:rsidR="00514D8B" w:rsidRDefault="00514D8B">
      <w:pPr>
        <w:tabs>
          <w:tab w:val="left" w:pos="567"/>
        </w:tabs>
        <w:spacing w:line="260" w:lineRule="exact"/>
        <w:rPr>
          <w:sz w:val="18"/>
          <w:szCs w:val="18"/>
        </w:rPr>
        <w:sectPr w:rsidR="00514D8B">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418" w:left="1418" w:header="851" w:footer="567" w:gutter="0"/>
          <w:cols w:space="708"/>
          <w:docGrid w:linePitch="360"/>
        </w:sectPr>
      </w:pPr>
    </w:p>
    <w:p w:rsidR="00514D8B" w:rsidRDefault="00514D8B">
      <w:pPr>
        <w:spacing w:line="260" w:lineRule="exact"/>
        <w:jc w:val="both"/>
        <w:rPr>
          <w:b/>
          <w:color w:val="999999"/>
          <w:sz w:val="18"/>
          <w:szCs w:val="18"/>
        </w:rPr>
      </w:pPr>
    </w:p>
    <w:p w:rsidR="00514D8B" w:rsidRDefault="00EE4096">
      <w:pPr>
        <w:spacing w:line="260" w:lineRule="exact"/>
        <w:rPr>
          <w:rFonts w:cs="Arial"/>
          <w:b/>
          <w:color w:val="00CCFF"/>
          <w:sz w:val="22"/>
          <w:szCs w:val="22"/>
        </w:rPr>
      </w:pPr>
      <w:r>
        <w:rPr>
          <w:rFonts w:cs="Arial"/>
          <w:b/>
          <w:color w:val="00CCFF"/>
          <w:sz w:val="22"/>
          <w:szCs w:val="22"/>
        </w:rPr>
        <w:t>Inhaltsverzeichnis</w:t>
      </w:r>
    </w:p>
    <w:p w:rsidR="00514D8B" w:rsidRDefault="00514D8B">
      <w:pPr>
        <w:spacing w:line="260" w:lineRule="exact"/>
        <w:jc w:val="both"/>
        <w:rPr>
          <w:b/>
          <w:color w:val="999999"/>
          <w:sz w:val="18"/>
          <w:szCs w:val="18"/>
        </w:rPr>
      </w:pPr>
    </w:p>
    <w:p w:rsidR="00514D8B" w:rsidRDefault="00514D8B">
      <w:pPr>
        <w:spacing w:line="260" w:lineRule="exact"/>
        <w:jc w:val="both"/>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0.</w:t>
      </w:r>
      <w:r>
        <w:rPr>
          <w:rFonts w:cs="Arial"/>
          <w:b/>
          <w:color w:val="00CCFF"/>
          <w:sz w:val="18"/>
          <w:szCs w:val="18"/>
        </w:rPr>
        <w:tab/>
        <w:t>Präambel</w:t>
      </w:r>
      <w:r>
        <w:rPr>
          <w:rFonts w:cs="Arial"/>
          <w:b/>
          <w:color w:val="00CCFF"/>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0.1.</w:t>
      </w:r>
      <w:r>
        <w:rPr>
          <w:rFonts w:cs="Arial"/>
          <w:b/>
          <w:color w:val="999999"/>
          <w:sz w:val="18"/>
          <w:szCs w:val="18"/>
        </w:rPr>
        <w:tab/>
        <w:t>Vertragszweck</w:t>
      </w:r>
      <w:r>
        <w:rPr>
          <w:rFonts w:cs="Arial"/>
          <w:b/>
          <w:color w:val="999999"/>
          <w:sz w:val="18"/>
          <w:szCs w:val="18"/>
        </w:rPr>
        <w:tab/>
        <w:t>5</w:t>
      </w:r>
    </w:p>
    <w:p w:rsidR="00514D8B" w:rsidRDefault="00514D8B">
      <w:pPr>
        <w:spacing w:line="260" w:lineRule="exact"/>
        <w:rPr>
          <w:rFonts w:cs="Arial"/>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w:t>
      </w:r>
      <w:r>
        <w:rPr>
          <w:rFonts w:cs="Arial"/>
          <w:b/>
          <w:color w:val="00CCFF"/>
          <w:sz w:val="18"/>
          <w:szCs w:val="18"/>
        </w:rPr>
        <w:tab/>
        <w:t>Vertragsgegenstand und Vertragslaufzeit</w:t>
      </w:r>
      <w:r>
        <w:rPr>
          <w:rFonts w:cs="Arial"/>
          <w:b/>
          <w:color w:val="00CCFF"/>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1.1.</w:t>
      </w:r>
      <w:r>
        <w:rPr>
          <w:rFonts w:cs="Arial"/>
          <w:b/>
          <w:color w:val="999999"/>
          <w:sz w:val="18"/>
          <w:szCs w:val="18"/>
        </w:rPr>
        <w:tab/>
        <w:t>Vertragsgegenstand</w:t>
      </w:r>
      <w:r>
        <w:rPr>
          <w:rFonts w:cs="Arial"/>
          <w:b/>
          <w:color w:val="999999"/>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1.2.</w:t>
      </w:r>
      <w:r>
        <w:rPr>
          <w:rFonts w:cs="Arial"/>
          <w:b/>
          <w:color w:val="999999"/>
          <w:sz w:val="18"/>
          <w:szCs w:val="18"/>
        </w:rPr>
        <w:tab/>
        <w:t>Vertragbeginn und -ende</w:t>
      </w:r>
      <w:r>
        <w:rPr>
          <w:rFonts w:cs="Arial"/>
          <w:b/>
          <w:color w:val="999999"/>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1.3.</w:t>
      </w:r>
      <w:r>
        <w:rPr>
          <w:rFonts w:cs="Arial"/>
          <w:b/>
          <w:color w:val="999999"/>
          <w:sz w:val="18"/>
          <w:szCs w:val="18"/>
        </w:rPr>
        <w:tab/>
        <w:t>Versorgungsbeginn und -ende</w:t>
      </w:r>
      <w:r>
        <w:rPr>
          <w:rFonts w:cs="Arial"/>
          <w:b/>
          <w:color w:val="999999"/>
          <w:sz w:val="18"/>
          <w:szCs w:val="18"/>
        </w:rPr>
        <w:tab/>
        <w:t>5</w:t>
      </w:r>
    </w:p>
    <w:p w:rsidR="00514D8B" w:rsidRDefault="00514D8B">
      <w:pPr>
        <w:spacing w:line="260" w:lineRule="exact"/>
        <w:rPr>
          <w:rFonts w:cs="Arial"/>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2.</w:t>
      </w:r>
      <w:r>
        <w:rPr>
          <w:rFonts w:cs="Arial"/>
          <w:b/>
          <w:color w:val="00CCFF"/>
          <w:sz w:val="18"/>
          <w:szCs w:val="18"/>
        </w:rPr>
        <w:tab/>
        <w:t>Umfang der Energieversorgung</w:t>
      </w:r>
      <w:r>
        <w:rPr>
          <w:rFonts w:cs="Arial"/>
          <w:b/>
          <w:color w:val="00CCFF"/>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2.1.</w:t>
      </w:r>
      <w:r>
        <w:rPr>
          <w:rFonts w:cs="Arial"/>
          <w:b/>
          <w:color w:val="999999"/>
          <w:sz w:val="18"/>
          <w:szCs w:val="18"/>
        </w:rPr>
        <w:tab/>
        <w:t>Lieferparameter</w:t>
      </w:r>
      <w:r>
        <w:rPr>
          <w:rFonts w:cs="Arial"/>
          <w:b/>
          <w:color w:val="999999"/>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2.2.</w:t>
      </w:r>
      <w:r>
        <w:rPr>
          <w:rFonts w:cs="Arial"/>
          <w:b/>
          <w:color w:val="999999"/>
          <w:sz w:val="18"/>
          <w:szCs w:val="18"/>
        </w:rPr>
        <w:tab/>
        <w:t>Abweichungen von Lieferparametern</w:t>
      </w:r>
      <w:r>
        <w:rPr>
          <w:rFonts w:cs="Arial"/>
          <w:b/>
          <w:color w:val="999999"/>
          <w:sz w:val="18"/>
          <w:szCs w:val="18"/>
        </w:rPr>
        <w:tab/>
        <w:t>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2.3.</w:t>
      </w:r>
      <w:r>
        <w:rPr>
          <w:rFonts w:cs="Arial"/>
          <w:b/>
          <w:color w:val="999999"/>
          <w:sz w:val="18"/>
          <w:szCs w:val="18"/>
        </w:rPr>
        <w:tab/>
        <w:t>Veränderungen durch Maßnahmen des Auftraggebers</w:t>
      </w:r>
      <w:r>
        <w:rPr>
          <w:rFonts w:cs="Arial"/>
          <w:b/>
          <w:color w:val="999999"/>
          <w:sz w:val="18"/>
          <w:szCs w:val="18"/>
        </w:rPr>
        <w:tab/>
        <w:t>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2.4.</w:t>
      </w:r>
      <w:r>
        <w:rPr>
          <w:rFonts w:cs="Arial"/>
          <w:b/>
          <w:color w:val="999999"/>
          <w:sz w:val="18"/>
          <w:szCs w:val="18"/>
        </w:rPr>
        <w:tab/>
        <w:t>Wasserqualität</w:t>
      </w:r>
      <w:r>
        <w:rPr>
          <w:rFonts w:cs="Arial"/>
          <w:b/>
          <w:color w:val="999999"/>
          <w:sz w:val="18"/>
          <w:szCs w:val="18"/>
        </w:rPr>
        <w:tab/>
        <w:t>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2.5.</w:t>
      </w:r>
      <w:r>
        <w:rPr>
          <w:rFonts w:cs="Arial"/>
          <w:b/>
          <w:color w:val="999999"/>
          <w:sz w:val="18"/>
          <w:szCs w:val="18"/>
        </w:rPr>
        <w:tab/>
        <w:t>Heizperiode, Versorgungspflicht außerhalb der Heizperiode</w:t>
      </w:r>
      <w:r>
        <w:rPr>
          <w:rFonts w:cs="Arial"/>
          <w:b/>
          <w:color w:val="999999"/>
          <w:sz w:val="18"/>
          <w:szCs w:val="18"/>
        </w:rPr>
        <w:tab/>
        <w:t>6</w:t>
      </w:r>
    </w:p>
    <w:p w:rsidR="00514D8B" w:rsidRDefault="00EE4096">
      <w:pPr>
        <w:tabs>
          <w:tab w:val="left" w:pos="567"/>
          <w:tab w:val="right" w:leader="dot" w:pos="8505"/>
        </w:tabs>
        <w:spacing w:line="260" w:lineRule="exact"/>
        <w:jc w:val="both"/>
        <w:rPr>
          <w:b/>
          <w:color w:val="999999"/>
          <w:sz w:val="18"/>
          <w:szCs w:val="18"/>
        </w:rPr>
      </w:pPr>
      <w:r>
        <w:rPr>
          <w:rFonts w:cs="Arial"/>
          <w:b/>
          <w:color w:val="999999"/>
          <w:sz w:val="18"/>
          <w:szCs w:val="18"/>
        </w:rPr>
        <w:t>2.6.</w:t>
      </w:r>
      <w:r>
        <w:rPr>
          <w:rFonts w:cs="Arial"/>
          <w:b/>
          <w:color w:val="999999"/>
          <w:sz w:val="18"/>
          <w:szCs w:val="18"/>
        </w:rPr>
        <w:tab/>
        <w:t>Wärmev</w:t>
      </w:r>
      <w:r>
        <w:rPr>
          <w:b/>
          <w:color w:val="999999"/>
          <w:sz w:val="18"/>
          <w:szCs w:val="18"/>
        </w:rPr>
        <w:t xml:space="preserve">ersorgung zur Trinkwarmwasserbereitung und Raumluftaufbereitung / </w:t>
      </w:r>
    </w:p>
    <w:p w:rsidR="00514D8B" w:rsidRDefault="00EE4096">
      <w:pPr>
        <w:tabs>
          <w:tab w:val="left" w:pos="567"/>
          <w:tab w:val="right" w:leader="dot" w:pos="8505"/>
        </w:tabs>
        <w:spacing w:line="260" w:lineRule="exact"/>
        <w:jc w:val="both"/>
        <w:rPr>
          <w:rFonts w:cs="Arial"/>
          <w:b/>
          <w:color w:val="999999"/>
          <w:sz w:val="18"/>
          <w:szCs w:val="18"/>
        </w:rPr>
      </w:pPr>
      <w:r>
        <w:rPr>
          <w:b/>
          <w:color w:val="999999"/>
          <w:sz w:val="18"/>
          <w:szCs w:val="18"/>
        </w:rPr>
        <w:tab/>
        <w:t>Kälteversorgung</w:t>
      </w:r>
      <w:r>
        <w:rPr>
          <w:rFonts w:cs="Arial"/>
          <w:b/>
          <w:color w:val="999999"/>
          <w:sz w:val="18"/>
          <w:szCs w:val="18"/>
        </w:rPr>
        <w:tab/>
        <w:t>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2.7.</w:t>
      </w:r>
      <w:r>
        <w:rPr>
          <w:rFonts w:cs="Arial"/>
          <w:b/>
          <w:color w:val="999999"/>
          <w:sz w:val="18"/>
          <w:szCs w:val="18"/>
        </w:rPr>
        <w:tab/>
        <w:t>Unterbrechung der Energielieferung</w:t>
      </w:r>
      <w:r>
        <w:rPr>
          <w:rFonts w:cs="Arial"/>
          <w:b/>
          <w:color w:val="999999"/>
          <w:sz w:val="18"/>
          <w:szCs w:val="18"/>
        </w:rPr>
        <w:tab/>
        <w:t>6</w:t>
      </w:r>
    </w:p>
    <w:p w:rsidR="00514D8B" w:rsidRDefault="00514D8B">
      <w:pPr>
        <w:spacing w:line="260" w:lineRule="exact"/>
        <w:rPr>
          <w:rFonts w:cs="Arial"/>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3.</w:t>
      </w:r>
      <w:r>
        <w:rPr>
          <w:rFonts w:cs="Arial"/>
          <w:b/>
          <w:color w:val="00CCFF"/>
          <w:sz w:val="18"/>
          <w:szCs w:val="18"/>
        </w:rPr>
        <w:tab/>
        <w:t>Rechte und Pflichten des Auftragnehmers</w:t>
      </w:r>
      <w:r>
        <w:rPr>
          <w:rFonts w:cs="Arial"/>
          <w:b/>
          <w:color w:val="00CCFF"/>
          <w:sz w:val="18"/>
          <w:szCs w:val="18"/>
        </w:rPr>
        <w:tab/>
        <w:t>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3.1.</w:t>
      </w:r>
      <w:r>
        <w:rPr>
          <w:rFonts w:cs="Arial"/>
          <w:b/>
          <w:color w:val="999999"/>
          <w:sz w:val="18"/>
          <w:szCs w:val="18"/>
        </w:rPr>
        <w:tab/>
        <w:t>Grundpflichten des Auftragnehmers</w:t>
      </w:r>
      <w:r>
        <w:rPr>
          <w:rFonts w:cs="Arial"/>
          <w:b/>
          <w:color w:val="999999"/>
          <w:sz w:val="18"/>
          <w:szCs w:val="18"/>
        </w:rPr>
        <w:tab/>
        <w:t>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3.2.</w:t>
      </w:r>
      <w:r>
        <w:rPr>
          <w:rFonts w:cs="Arial"/>
          <w:b/>
          <w:color w:val="999999"/>
          <w:sz w:val="18"/>
          <w:szCs w:val="18"/>
        </w:rPr>
        <w:tab/>
        <w:t>Emittierte CO2-Äquivalente</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3.3.</w:t>
      </w:r>
      <w:r>
        <w:rPr>
          <w:rFonts w:cs="Arial"/>
          <w:b/>
          <w:color w:val="999999"/>
          <w:sz w:val="18"/>
          <w:szCs w:val="18"/>
        </w:rPr>
        <w:tab/>
        <w:t>Überwachung- und Instandhaltungspflichten des Auftragnehmers</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3.4.</w:t>
      </w:r>
      <w:r>
        <w:rPr>
          <w:rFonts w:cs="Arial"/>
          <w:b/>
          <w:color w:val="999999"/>
          <w:sz w:val="18"/>
          <w:szCs w:val="18"/>
        </w:rPr>
        <w:tab/>
        <w:t>Errichten der Anlage und der Messeinrichtungen</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3.5.</w:t>
      </w:r>
      <w:r>
        <w:rPr>
          <w:rFonts w:cs="Arial"/>
          <w:b/>
          <w:color w:val="999999"/>
          <w:sz w:val="18"/>
          <w:szCs w:val="18"/>
        </w:rPr>
        <w:tab/>
        <w:t>Wärme- / Kältemengenzähler</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3.6.</w:t>
      </w:r>
      <w:r>
        <w:rPr>
          <w:rFonts w:cs="Arial"/>
          <w:b/>
          <w:color w:val="999999"/>
          <w:sz w:val="18"/>
          <w:szCs w:val="18"/>
        </w:rPr>
        <w:tab/>
        <w:t>Verweis auf Leistungsbeschreibung</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3.7.</w:t>
      </w:r>
      <w:r>
        <w:rPr>
          <w:rFonts w:cs="Arial"/>
          <w:b/>
          <w:color w:val="999999"/>
          <w:sz w:val="18"/>
          <w:szCs w:val="18"/>
        </w:rPr>
        <w:tab/>
        <w:t>Übergabestelle</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3.8.</w:t>
      </w:r>
      <w:r>
        <w:rPr>
          <w:rFonts w:cs="Arial"/>
          <w:b/>
          <w:color w:val="999999"/>
          <w:sz w:val="18"/>
          <w:szCs w:val="18"/>
        </w:rPr>
        <w:tab/>
        <w:t>Übertragung von Vertragspflichten auf Dritte</w:t>
      </w:r>
      <w:r>
        <w:rPr>
          <w:rFonts w:cs="Arial"/>
          <w:b/>
          <w:color w:val="999999"/>
          <w:sz w:val="18"/>
          <w:szCs w:val="18"/>
        </w:rPr>
        <w:tab/>
        <w:t>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3.9.</w:t>
      </w:r>
      <w:r>
        <w:rPr>
          <w:rFonts w:cs="Arial"/>
          <w:b/>
          <w:color w:val="999999"/>
          <w:sz w:val="18"/>
          <w:szCs w:val="18"/>
        </w:rPr>
        <w:tab/>
        <w:t>Vertragserfüllungsbürgschaft</w:t>
      </w:r>
      <w:r>
        <w:rPr>
          <w:rFonts w:cs="Arial"/>
          <w:b/>
          <w:color w:val="999999"/>
          <w:sz w:val="18"/>
          <w:szCs w:val="18"/>
        </w:rPr>
        <w:tab/>
        <w:t>7</w:t>
      </w:r>
    </w:p>
    <w:p w:rsidR="00514D8B" w:rsidRDefault="00514D8B">
      <w:pPr>
        <w:spacing w:line="260" w:lineRule="exact"/>
        <w:jc w:val="both"/>
        <w:outlineLvl w:val="0"/>
        <w:rPr>
          <w:b/>
          <w:color w:val="999999"/>
          <w:sz w:val="18"/>
          <w:szCs w:val="18"/>
        </w:rPr>
      </w:pPr>
    </w:p>
    <w:p w:rsidR="00514D8B" w:rsidRDefault="00EE4096">
      <w:pPr>
        <w:tabs>
          <w:tab w:val="left" w:pos="567"/>
          <w:tab w:val="right" w:leader="dot" w:pos="8505"/>
        </w:tabs>
        <w:spacing w:line="260" w:lineRule="exact"/>
        <w:jc w:val="both"/>
        <w:rPr>
          <w:b/>
          <w:color w:val="00CCFF"/>
          <w:sz w:val="18"/>
          <w:szCs w:val="18"/>
        </w:rPr>
      </w:pPr>
      <w:r>
        <w:rPr>
          <w:rFonts w:cs="Arial"/>
          <w:b/>
          <w:color w:val="00CCFF"/>
          <w:sz w:val="18"/>
          <w:szCs w:val="18"/>
        </w:rPr>
        <w:t>4.</w:t>
      </w:r>
      <w:r>
        <w:rPr>
          <w:rFonts w:cs="Arial"/>
          <w:b/>
          <w:color w:val="00CCFF"/>
          <w:sz w:val="18"/>
          <w:szCs w:val="18"/>
        </w:rPr>
        <w:tab/>
      </w:r>
      <w:r>
        <w:rPr>
          <w:b/>
          <w:color w:val="00CCFF"/>
          <w:sz w:val="18"/>
          <w:szCs w:val="18"/>
        </w:rPr>
        <w:t xml:space="preserve">Ergänzende Regelungen für die Energieerzeugung vor Ort auf überlassenen </w:t>
      </w:r>
    </w:p>
    <w:p w:rsidR="00514D8B" w:rsidRDefault="00EE4096">
      <w:pPr>
        <w:tabs>
          <w:tab w:val="left" w:pos="567"/>
          <w:tab w:val="right" w:leader="dot" w:pos="8505"/>
        </w:tabs>
        <w:spacing w:line="260" w:lineRule="exact"/>
        <w:jc w:val="both"/>
        <w:rPr>
          <w:rFonts w:cs="Arial"/>
          <w:b/>
          <w:color w:val="00CCFF"/>
          <w:sz w:val="18"/>
          <w:szCs w:val="18"/>
        </w:rPr>
      </w:pPr>
      <w:r>
        <w:rPr>
          <w:b/>
          <w:color w:val="00CCFF"/>
          <w:sz w:val="18"/>
          <w:szCs w:val="18"/>
        </w:rPr>
        <w:tab/>
        <w:t>Nutzungsflächen</w:t>
      </w:r>
      <w:r>
        <w:rPr>
          <w:rFonts w:cs="Arial"/>
          <w:b/>
          <w:color w:val="00CCFF"/>
          <w:sz w:val="18"/>
          <w:szCs w:val="18"/>
        </w:rPr>
        <w:tab/>
        <w:t>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4.1.</w:t>
      </w:r>
      <w:r>
        <w:rPr>
          <w:rFonts w:cs="Arial"/>
          <w:b/>
          <w:color w:val="999999"/>
          <w:sz w:val="18"/>
          <w:szCs w:val="18"/>
        </w:rPr>
        <w:tab/>
        <w:t>Pachtvertragliche Regelungen</w:t>
      </w:r>
      <w:r>
        <w:rPr>
          <w:rFonts w:cs="Arial"/>
          <w:b/>
          <w:color w:val="999999"/>
          <w:sz w:val="18"/>
          <w:szCs w:val="18"/>
        </w:rPr>
        <w:tab/>
        <w:t>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4.1.1.</w:t>
      </w:r>
      <w:r>
        <w:rPr>
          <w:rFonts w:cs="Arial"/>
          <w:b/>
          <w:color w:val="999999"/>
          <w:sz w:val="18"/>
          <w:szCs w:val="18"/>
        </w:rPr>
        <w:tab/>
        <w:t>Nutzungsflächen</w:t>
      </w:r>
      <w:r>
        <w:rPr>
          <w:rFonts w:cs="Arial"/>
          <w:b/>
          <w:color w:val="999999"/>
          <w:sz w:val="18"/>
          <w:szCs w:val="18"/>
        </w:rPr>
        <w:tab/>
        <w:t>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4.1.2.</w:t>
      </w:r>
      <w:r>
        <w:rPr>
          <w:rFonts w:cs="Arial"/>
          <w:b/>
          <w:color w:val="999999"/>
          <w:sz w:val="18"/>
          <w:szCs w:val="18"/>
        </w:rPr>
        <w:tab/>
        <w:t>Gestattungen an zusätzlichen Nutzungsflächen des Auftraggebers</w:t>
      </w:r>
      <w:r>
        <w:rPr>
          <w:rFonts w:cs="Arial"/>
          <w:b/>
          <w:color w:val="999999"/>
          <w:sz w:val="18"/>
          <w:szCs w:val="18"/>
        </w:rPr>
        <w:tab/>
        <w:t>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4.1.3.</w:t>
      </w:r>
      <w:r>
        <w:rPr>
          <w:rFonts w:cs="Arial"/>
          <w:b/>
          <w:color w:val="999999"/>
          <w:sz w:val="18"/>
          <w:szCs w:val="18"/>
        </w:rPr>
        <w:tab/>
        <w:t>Lasten und Pflichten an Nutzungsflächen</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4.2.</w:t>
      </w:r>
      <w:r>
        <w:rPr>
          <w:rFonts w:cs="Arial"/>
          <w:b/>
          <w:color w:val="999999"/>
          <w:sz w:val="18"/>
          <w:szCs w:val="18"/>
        </w:rPr>
        <w:tab/>
        <w:t>Anlagensteuerung vor Ort</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4.3.</w:t>
      </w:r>
      <w:r>
        <w:rPr>
          <w:rFonts w:cs="Arial"/>
          <w:b/>
          <w:color w:val="999999"/>
          <w:sz w:val="18"/>
          <w:szCs w:val="18"/>
        </w:rPr>
        <w:tab/>
        <w:t>Energielieferung an Dritte</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4.4.</w:t>
      </w:r>
      <w:r>
        <w:rPr>
          <w:rFonts w:cs="Arial"/>
          <w:b/>
          <w:color w:val="999999"/>
          <w:sz w:val="18"/>
          <w:szCs w:val="18"/>
        </w:rPr>
        <w:tab/>
        <w:t>Beendigung des Vertragsverhältnisses</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4.4.1.</w:t>
      </w:r>
      <w:r>
        <w:rPr>
          <w:rFonts w:cs="Arial"/>
          <w:b/>
          <w:color w:val="999999"/>
          <w:sz w:val="18"/>
          <w:szCs w:val="18"/>
        </w:rPr>
        <w:tab/>
        <w:t>Übernahme der Anlage</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4.4.2.</w:t>
      </w:r>
      <w:r>
        <w:rPr>
          <w:rFonts w:cs="Arial"/>
          <w:b/>
          <w:color w:val="999999"/>
          <w:sz w:val="18"/>
          <w:szCs w:val="18"/>
        </w:rPr>
        <w:tab/>
        <w:t>Übergabe der Anlage</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4.4.3.</w:t>
      </w:r>
      <w:r>
        <w:rPr>
          <w:rFonts w:cs="Arial"/>
          <w:b/>
          <w:color w:val="999999"/>
          <w:sz w:val="18"/>
          <w:szCs w:val="18"/>
        </w:rPr>
        <w:tab/>
        <w:t>Entschädigungsregelung bei Anlagenübernahme</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4.4.4.</w:t>
      </w:r>
      <w:r>
        <w:rPr>
          <w:rFonts w:cs="Arial"/>
          <w:b/>
          <w:color w:val="999999"/>
          <w:sz w:val="18"/>
          <w:szCs w:val="18"/>
        </w:rPr>
        <w:tab/>
        <w:t>Bodengutachten</w:t>
      </w:r>
      <w:r>
        <w:rPr>
          <w:rFonts w:cs="Arial"/>
          <w:b/>
          <w:color w:val="999999"/>
          <w:sz w:val="18"/>
          <w:szCs w:val="18"/>
        </w:rPr>
        <w:tab/>
        <w:t>9</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4.4.5.</w:t>
      </w:r>
      <w:r>
        <w:rPr>
          <w:rFonts w:cs="Arial"/>
          <w:b/>
          <w:color w:val="999999"/>
          <w:sz w:val="18"/>
          <w:szCs w:val="18"/>
        </w:rPr>
        <w:tab/>
        <w:t>Zustand der Nutzungsflächen bei Vertragsende, Restwert</w:t>
      </w:r>
      <w:r>
        <w:rPr>
          <w:rFonts w:cs="Arial"/>
          <w:b/>
          <w:color w:val="999999"/>
          <w:sz w:val="18"/>
          <w:szCs w:val="18"/>
        </w:rPr>
        <w:tab/>
        <w:t>10</w:t>
      </w:r>
    </w:p>
    <w:p w:rsidR="00514D8B" w:rsidRDefault="00EE4096">
      <w:pPr>
        <w:tabs>
          <w:tab w:val="left" w:pos="567"/>
          <w:tab w:val="right" w:leader="dot" w:pos="8505"/>
        </w:tabs>
        <w:spacing w:line="260" w:lineRule="exact"/>
        <w:jc w:val="both"/>
        <w:rPr>
          <w:rFonts w:cs="Arial"/>
          <w:b/>
          <w:color w:val="00CCFF"/>
          <w:sz w:val="18"/>
          <w:szCs w:val="18"/>
        </w:rPr>
      </w:pPr>
      <w:r>
        <w:rPr>
          <w:b/>
          <w:color w:val="999999"/>
          <w:sz w:val="18"/>
          <w:szCs w:val="18"/>
        </w:rPr>
        <w:br w:type="page"/>
      </w:r>
      <w:r>
        <w:rPr>
          <w:rFonts w:cs="Arial"/>
          <w:b/>
          <w:color w:val="00CCFF"/>
          <w:sz w:val="18"/>
          <w:szCs w:val="18"/>
        </w:rPr>
        <w:lastRenderedPageBreak/>
        <w:t>5.</w:t>
      </w:r>
      <w:r>
        <w:rPr>
          <w:rFonts w:cs="Arial"/>
          <w:b/>
          <w:color w:val="00CCFF"/>
          <w:sz w:val="18"/>
          <w:szCs w:val="18"/>
        </w:rPr>
        <w:tab/>
        <w:t>Preise – Definition</w:t>
      </w:r>
      <w:r>
        <w:rPr>
          <w:rFonts w:cs="Arial"/>
          <w:b/>
          <w:color w:val="00CCFF"/>
          <w:sz w:val="18"/>
          <w:szCs w:val="18"/>
        </w:rPr>
        <w:tab/>
        <w:t>10</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5.1.</w:t>
      </w:r>
      <w:r>
        <w:rPr>
          <w:rFonts w:cs="Arial"/>
          <w:b/>
          <w:color w:val="999999"/>
          <w:sz w:val="18"/>
          <w:szCs w:val="18"/>
        </w:rPr>
        <w:tab/>
        <w:t>Anschlusskostenbeitrag und Baukostenzuschuss</w:t>
      </w:r>
      <w:r>
        <w:rPr>
          <w:rFonts w:cs="Arial"/>
          <w:b/>
          <w:color w:val="999999"/>
          <w:sz w:val="18"/>
          <w:szCs w:val="18"/>
        </w:rPr>
        <w:tab/>
        <w:t>10</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5.2.</w:t>
      </w:r>
      <w:r>
        <w:rPr>
          <w:rFonts w:cs="Arial"/>
          <w:b/>
          <w:color w:val="999999"/>
          <w:sz w:val="18"/>
          <w:szCs w:val="18"/>
        </w:rPr>
        <w:tab/>
        <w:t>Grundpreis und Arbeitspreis</w:t>
      </w:r>
      <w:r>
        <w:rPr>
          <w:rFonts w:cs="Arial"/>
          <w:b/>
          <w:color w:val="999999"/>
          <w:sz w:val="18"/>
          <w:szCs w:val="18"/>
        </w:rPr>
        <w:tab/>
        <w:t>10</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5.3.</w:t>
      </w:r>
      <w:r>
        <w:rPr>
          <w:rFonts w:cs="Arial"/>
          <w:b/>
          <w:color w:val="999999"/>
          <w:sz w:val="18"/>
          <w:szCs w:val="18"/>
        </w:rPr>
        <w:tab/>
        <w:t>Zusammensetzung des Jahresgrundpreises</w:t>
      </w:r>
      <w:r>
        <w:rPr>
          <w:rFonts w:cs="Arial"/>
          <w:b/>
          <w:color w:val="999999"/>
          <w:sz w:val="18"/>
          <w:szCs w:val="18"/>
        </w:rPr>
        <w:tab/>
        <w:t>10</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5.4.</w:t>
      </w:r>
      <w:r>
        <w:rPr>
          <w:rFonts w:cs="Arial"/>
          <w:b/>
          <w:color w:val="999999"/>
          <w:sz w:val="18"/>
          <w:szCs w:val="18"/>
        </w:rPr>
        <w:tab/>
        <w:t>Zusammensetzung des Arbeitspreises</w:t>
      </w:r>
      <w:r>
        <w:rPr>
          <w:rFonts w:cs="Arial"/>
          <w:b/>
          <w:color w:val="999999"/>
          <w:sz w:val="18"/>
          <w:szCs w:val="18"/>
        </w:rPr>
        <w:tab/>
        <w:t>10</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5.5.</w:t>
      </w:r>
      <w:r>
        <w:rPr>
          <w:rFonts w:cs="Arial"/>
          <w:b/>
          <w:color w:val="999999"/>
          <w:sz w:val="18"/>
          <w:szCs w:val="18"/>
        </w:rPr>
        <w:tab/>
        <w:t>Kostenaufteilung bei Betriebsunterbrechung</w:t>
      </w:r>
      <w:r>
        <w:rPr>
          <w:rFonts w:cs="Arial"/>
          <w:b/>
          <w:color w:val="999999"/>
          <w:sz w:val="18"/>
          <w:szCs w:val="18"/>
        </w:rPr>
        <w:tab/>
        <w:t>10</w:t>
      </w:r>
    </w:p>
    <w:p w:rsidR="00514D8B" w:rsidRDefault="00514D8B">
      <w:pPr>
        <w:tabs>
          <w:tab w:val="left" w:pos="567"/>
          <w:tab w:val="right" w:leader="dot" w:pos="8505"/>
        </w:tabs>
        <w:spacing w:line="260" w:lineRule="exact"/>
        <w:jc w:val="both"/>
        <w:rPr>
          <w:rFonts w:cs="Arial"/>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6.</w:t>
      </w:r>
      <w:r>
        <w:rPr>
          <w:rFonts w:cs="Arial"/>
          <w:b/>
          <w:color w:val="00CCFF"/>
          <w:sz w:val="18"/>
          <w:szCs w:val="18"/>
        </w:rPr>
        <w:tab/>
        <w:t>Preisanpassung</w:t>
      </w:r>
      <w:r>
        <w:rPr>
          <w:rFonts w:cs="Arial"/>
          <w:b/>
          <w:color w:val="00CCFF"/>
          <w:sz w:val="18"/>
          <w:szCs w:val="18"/>
        </w:rPr>
        <w:tab/>
        <w:t>11</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6.1.</w:t>
      </w:r>
      <w:r>
        <w:rPr>
          <w:rFonts w:cs="Arial"/>
          <w:b/>
          <w:color w:val="999999"/>
          <w:sz w:val="18"/>
          <w:szCs w:val="18"/>
        </w:rPr>
        <w:tab/>
        <w:t>Gründe für eine Preisanpassung</w:t>
      </w:r>
      <w:r>
        <w:rPr>
          <w:rFonts w:cs="Arial"/>
          <w:b/>
          <w:color w:val="999999"/>
          <w:sz w:val="18"/>
          <w:szCs w:val="18"/>
        </w:rPr>
        <w:tab/>
        <w:t>11</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6.2.</w:t>
      </w:r>
      <w:r>
        <w:rPr>
          <w:rFonts w:cs="Arial"/>
          <w:b/>
          <w:color w:val="999999"/>
          <w:sz w:val="18"/>
          <w:szCs w:val="18"/>
        </w:rPr>
        <w:tab/>
        <w:t>Jahresgrundpreis</w:t>
      </w:r>
      <w:r>
        <w:rPr>
          <w:rFonts w:cs="Arial"/>
          <w:b/>
          <w:color w:val="999999"/>
          <w:sz w:val="18"/>
          <w:szCs w:val="18"/>
        </w:rPr>
        <w:tab/>
        <w:t>11</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6.3.</w:t>
      </w:r>
      <w:r>
        <w:rPr>
          <w:rFonts w:cs="Arial"/>
          <w:b/>
          <w:color w:val="999999"/>
          <w:sz w:val="18"/>
          <w:szCs w:val="18"/>
        </w:rPr>
        <w:tab/>
        <w:t>Arbeitspreis</w:t>
      </w:r>
      <w:r>
        <w:rPr>
          <w:rFonts w:cs="Arial"/>
          <w:b/>
          <w:color w:val="999999"/>
          <w:sz w:val="18"/>
          <w:szCs w:val="18"/>
        </w:rPr>
        <w:tab/>
        <w:t>12</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6.4.</w:t>
      </w:r>
      <w:r>
        <w:rPr>
          <w:rFonts w:cs="Arial"/>
          <w:b/>
          <w:color w:val="999999"/>
          <w:sz w:val="18"/>
          <w:szCs w:val="18"/>
        </w:rPr>
        <w:tab/>
        <w:t>Termine für Preisanpassungen</w:t>
      </w:r>
      <w:r>
        <w:rPr>
          <w:rFonts w:cs="Arial"/>
          <w:b/>
          <w:color w:val="999999"/>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6.5.</w:t>
      </w:r>
      <w:r>
        <w:rPr>
          <w:rFonts w:cs="Arial"/>
          <w:b/>
          <w:color w:val="999999"/>
          <w:sz w:val="18"/>
          <w:szCs w:val="18"/>
        </w:rPr>
        <w:tab/>
        <w:t>Vereinbarte Bezugsgrößen</w:t>
      </w:r>
      <w:r>
        <w:rPr>
          <w:rFonts w:cs="Arial"/>
          <w:b/>
          <w:color w:val="999999"/>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6.6.</w:t>
      </w:r>
      <w:r>
        <w:rPr>
          <w:rFonts w:cs="Arial"/>
          <w:b/>
          <w:color w:val="999999"/>
          <w:sz w:val="18"/>
          <w:szCs w:val="18"/>
        </w:rPr>
        <w:tab/>
        <w:t>Definition statistischer Indizes</w:t>
      </w:r>
      <w:r>
        <w:rPr>
          <w:rFonts w:cs="Arial"/>
          <w:b/>
          <w:color w:val="999999"/>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6.7.</w:t>
      </w:r>
      <w:r>
        <w:rPr>
          <w:rFonts w:cs="Arial"/>
          <w:b/>
          <w:color w:val="999999"/>
          <w:sz w:val="18"/>
          <w:szCs w:val="18"/>
        </w:rPr>
        <w:tab/>
        <w:t>Überprüfung der Preisänderungsklausel</w:t>
      </w:r>
      <w:r>
        <w:rPr>
          <w:rFonts w:cs="Arial"/>
          <w:b/>
          <w:color w:val="999999"/>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6.8.</w:t>
      </w:r>
      <w:r>
        <w:rPr>
          <w:rFonts w:cs="Arial"/>
          <w:b/>
          <w:color w:val="999999"/>
          <w:sz w:val="18"/>
          <w:szCs w:val="18"/>
        </w:rPr>
        <w:tab/>
        <w:t>Ermittlung Umsatzsteuer</w:t>
      </w:r>
      <w:r>
        <w:rPr>
          <w:rFonts w:cs="Arial"/>
          <w:b/>
          <w:color w:val="999999"/>
          <w:sz w:val="18"/>
          <w:szCs w:val="18"/>
        </w:rPr>
        <w:tab/>
        <w:t>13</w:t>
      </w:r>
    </w:p>
    <w:p w:rsidR="00514D8B" w:rsidRDefault="00514D8B">
      <w:pPr>
        <w:spacing w:line="260" w:lineRule="exact"/>
        <w:jc w:val="both"/>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7.</w:t>
      </w:r>
      <w:r>
        <w:rPr>
          <w:rFonts w:cs="Arial"/>
          <w:b/>
          <w:color w:val="00CCFF"/>
          <w:sz w:val="18"/>
          <w:szCs w:val="18"/>
        </w:rPr>
        <w:tab/>
        <w:t>Messungen und Rechnungen</w:t>
      </w:r>
      <w:r>
        <w:rPr>
          <w:rFonts w:cs="Arial"/>
          <w:b/>
          <w:color w:val="00CCFF"/>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7.1.</w:t>
      </w:r>
      <w:r>
        <w:rPr>
          <w:rFonts w:cs="Arial"/>
          <w:b/>
          <w:color w:val="999999"/>
          <w:sz w:val="18"/>
          <w:szCs w:val="18"/>
        </w:rPr>
        <w:tab/>
        <w:t>Mess- und Abrechnungsstelle</w:t>
      </w:r>
      <w:r>
        <w:rPr>
          <w:rFonts w:cs="Arial"/>
          <w:b/>
          <w:color w:val="999999"/>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7.2.</w:t>
      </w:r>
      <w:r>
        <w:rPr>
          <w:rFonts w:cs="Arial"/>
          <w:b/>
          <w:color w:val="999999"/>
          <w:sz w:val="18"/>
          <w:szCs w:val="18"/>
        </w:rPr>
        <w:tab/>
        <w:t>Abrechnungszeitraum/Zahlungen</w:t>
      </w:r>
      <w:r>
        <w:rPr>
          <w:rFonts w:cs="Arial"/>
          <w:b/>
          <w:color w:val="999999"/>
          <w:sz w:val="18"/>
          <w:szCs w:val="18"/>
        </w:rPr>
        <w:tab/>
        <w:t>13</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7.3.</w:t>
      </w:r>
      <w:r>
        <w:rPr>
          <w:rFonts w:cs="Arial"/>
          <w:b/>
          <w:color w:val="999999"/>
          <w:sz w:val="18"/>
          <w:szCs w:val="18"/>
        </w:rPr>
        <w:tab/>
        <w:t>Verrechnung von Forderungen</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7.4.</w:t>
      </w:r>
      <w:r>
        <w:rPr>
          <w:rFonts w:cs="Arial"/>
          <w:b/>
          <w:color w:val="999999"/>
          <w:sz w:val="18"/>
          <w:szCs w:val="18"/>
        </w:rPr>
        <w:tab/>
        <w:t>Jahresabrechnung</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7.5.</w:t>
      </w:r>
      <w:r>
        <w:rPr>
          <w:rFonts w:cs="Arial"/>
          <w:b/>
          <w:color w:val="999999"/>
          <w:sz w:val="18"/>
          <w:szCs w:val="18"/>
        </w:rPr>
        <w:tab/>
        <w:t>Behandlung von Überzahlungen</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7.6.</w:t>
      </w:r>
      <w:r>
        <w:rPr>
          <w:rFonts w:cs="Arial"/>
          <w:b/>
          <w:color w:val="999999"/>
          <w:sz w:val="18"/>
          <w:szCs w:val="18"/>
        </w:rPr>
        <w:tab/>
        <w:t>Vertragsbeginn/-ende während eines Abrechnungszeitraumes</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7.7.</w:t>
      </w:r>
      <w:r>
        <w:rPr>
          <w:rFonts w:cs="Arial"/>
          <w:b/>
          <w:color w:val="999999"/>
          <w:sz w:val="18"/>
          <w:szCs w:val="18"/>
        </w:rPr>
        <w:tab/>
        <w:t>Schlussrechnung bei Vertragsende</w:t>
      </w:r>
      <w:r>
        <w:rPr>
          <w:rFonts w:cs="Arial"/>
          <w:b/>
          <w:color w:val="999999"/>
          <w:sz w:val="18"/>
          <w:szCs w:val="18"/>
        </w:rPr>
        <w:tab/>
        <w:t>14</w:t>
      </w:r>
    </w:p>
    <w:p w:rsidR="00514D8B" w:rsidRDefault="00514D8B">
      <w:pPr>
        <w:spacing w:line="260" w:lineRule="exact"/>
        <w:jc w:val="both"/>
        <w:outlineLvl w:val="0"/>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8.</w:t>
      </w:r>
      <w:r>
        <w:rPr>
          <w:rFonts w:cs="Arial"/>
          <w:b/>
          <w:color w:val="00CCFF"/>
          <w:sz w:val="18"/>
          <w:szCs w:val="18"/>
        </w:rPr>
        <w:tab/>
        <w:t>Versorgungsstörungen, Verfügbarkeit, Notdienst und Vertragsstrafe</w:t>
      </w:r>
      <w:r>
        <w:rPr>
          <w:rFonts w:cs="Arial"/>
          <w:b/>
          <w:color w:val="00CCFF"/>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8.1.</w:t>
      </w:r>
      <w:r>
        <w:rPr>
          <w:rFonts w:cs="Arial"/>
          <w:b/>
          <w:color w:val="999999"/>
          <w:sz w:val="18"/>
          <w:szCs w:val="18"/>
        </w:rPr>
        <w:tab/>
        <w:t>Ersatzbeheizung/-kühlung bei verzögertem Versorgungsbeginn</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8.2.</w:t>
      </w:r>
      <w:r>
        <w:rPr>
          <w:rFonts w:cs="Arial"/>
          <w:b/>
          <w:color w:val="999999"/>
          <w:sz w:val="18"/>
          <w:szCs w:val="18"/>
        </w:rPr>
        <w:tab/>
        <w:t>Technische Möglichkeiten zur Erfassung der Betriebsparameter</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8.3.</w:t>
      </w:r>
      <w:r>
        <w:rPr>
          <w:rFonts w:cs="Arial"/>
          <w:b/>
          <w:color w:val="999999"/>
          <w:sz w:val="18"/>
          <w:szCs w:val="18"/>
        </w:rPr>
        <w:tab/>
        <w:t>Technische Möglichkeiten für eine Ersatzenergielieferung</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8.4.</w:t>
      </w:r>
      <w:r>
        <w:rPr>
          <w:rFonts w:cs="Arial"/>
          <w:b/>
          <w:color w:val="999999"/>
          <w:sz w:val="18"/>
          <w:szCs w:val="18"/>
        </w:rPr>
        <w:tab/>
        <w:t>Mitteilungspflicht des Auftragnehmers</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8.5.</w:t>
      </w:r>
      <w:r>
        <w:rPr>
          <w:rFonts w:cs="Arial"/>
          <w:b/>
          <w:color w:val="999999"/>
          <w:sz w:val="18"/>
          <w:szCs w:val="18"/>
        </w:rPr>
        <w:tab/>
        <w:t>Mitteilungspflicht des Auftraggebers</w:t>
      </w:r>
      <w:r>
        <w:rPr>
          <w:rFonts w:cs="Arial"/>
          <w:b/>
          <w:color w:val="999999"/>
          <w:sz w:val="18"/>
          <w:szCs w:val="18"/>
        </w:rPr>
        <w:tab/>
        <w:t>14</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8.6.</w:t>
      </w:r>
      <w:r>
        <w:rPr>
          <w:rFonts w:cs="Arial"/>
          <w:b/>
          <w:color w:val="999999"/>
          <w:sz w:val="18"/>
          <w:szCs w:val="18"/>
        </w:rPr>
        <w:tab/>
        <w:t>Reaktionszeiten</w:t>
      </w:r>
      <w:r>
        <w:rPr>
          <w:rFonts w:cs="Arial"/>
          <w:b/>
          <w:color w:val="999999"/>
          <w:sz w:val="18"/>
          <w:szCs w:val="18"/>
        </w:rPr>
        <w:tab/>
        <w:t>15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8.7.</w:t>
      </w:r>
      <w:r>
        <w:rPr>
          <w:rFonts w:cs="Arial"/>
          <w:b/>
          <w:color w:val="999999"/>
          <w:sz w:val="18"/>
          <w:szCs w:val="18"/>
        </w:rPr>
        <w:tab/>
        <w:t>Vermeidung von Frostschäden</w:t>
      </w:r>
      <w:r>
        <w:rPr>
          <w:rFonts w:cs="Arial"/>
          <w:b/>
          <w:color w:val="999999"/>
          <w:sz w:val="18"/>
          <w:szCs w:val="18"/>
        </w:rPr>
        <w:tab/>
        <w:t>15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8.8.</w:t>
      </w:r>
      <w:r>
        <w:rPr>
          <w:rFonts w:cs="Arial"/>
          <w:b/>
          <w:color w:val="999999"/>
          <w:sz w:val="18"/>
          <w:szCs w:val="18"/>
        </w:rPr>
        <w:tab/>
        <w:t>Überschreitung der vorgegebenen Fristen zur Wiederaufnahme der Versorgung</w:t>
      </w:r>
      <w:r>
        <w:rPr>
          <w:rFonts w:cs="Arial"/>
          <w:b/>
          <w:color w:val="999999"/>
          <w:sz w:val="18"/>
          <w:szCs w:val="18"/>
        </w:rPr>
        <w:tab/>
        <w:t>15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8.9.</w:t>
      </w:r>
      <w:r>
        <w:rPr>
          <w:rFonts w:cs="Arial"/>
          <w:b/>
          <w:color w:val="999999"/>
          <w:sz w:val="18"/>
          <w:szCs w:val="18"/>
        </w:rPr>
        <w:tab/>
        <w:t>Vertragsstrafe</w:t>
      </w:r>
      <w:r>
        <w:rPr>
          <w:rFonts w:cs="Arial"/>
          <w:b/>
          <w:color w:val="999999"/>
          <w:sz w:val="18"/>
          <w:szCs w:val="18"/>
        </w:rPr>
        <w:tab/>
        <w:t>15</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8.10.</w:t>
      </w:r>
      <w:r>
        <w:rPr>
          <w:rFonts w:cs="Arial"/>
          <w:b/>
          <w:color w:val="999999"/>
          <w:sz w:val="18"/>
          <w:szCs w:val="18"/>
        </w:rPr>
        <w:tab/>
        <w:t>Verfügbarkeiten</w:t>
      </w:r>
      <w:r>
        <w:rPr>
          <w:rFonts w:cs="Arial"/>
          <w:b/>
          <w:color w:val="999999"/>
          <w:sz w:val="18"/>
          <w:szCs w:val="18"/>
        </w:rPr>
        <w:tab/>
        <w:t>15</w:t>
      </w:r>
    </w:p>
    <w:p w:rsidR="00514D8B" w:rsidRDefault="00514D8B">
      <w:pPr>
        <w:spacing w:line="260" w:lineRule="exact"/>
        <w:rPr>
          <w:rFonts w:cs="Arial"/>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9.</w:t>
      </w:r>
      <w:r>
        <w:rPr>
          <w:rFonts w:cs="Arial"/>
          <w:b/>
          <w:color w:val="00CCFF"/>
          <w:sz w:val="18"/>
          <w:szCs w:val="18"/>
        </w:rPr>
        <w:tab/>
        <w:t>Versicherung, Haftung und Schadenersatz</w:t>
      </w:r>
      <w:r>
        <w:rPr>
          <w:rFonts w:cs="Arial"/>
          <w:b/>
          <w:color w:val="00CCFF"/>
          <w:sz w:val="18"/>
          <w:szCs w:val="18"/>
        </w:rPr>
        <w:tab/>
        <w:t>16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9.1.</w:t>
      </w:r>
      <w:r>
        <w:rPr>
          <w:rFonts w:cs="Arial"/>
          <w:b/>
          <w:color w:val="999999"/>
          <w:sz w:val="18"/>
          <w:szCs w:val="18"/>
        </w:rPr>
        <w:tab/>
        <w:t>Versicherungssummen</w:t>
      </w:r>
      <w:r>
        <w:rPr>
          <w:rFonts w:cs="Arial"/>
          <w:b/>
          <w:color w:val="999999"/>
          <w:sz w:val="18"/>
          <w:szCs w:val="18"/>
        </w:rPr>
        <w:tab/>
        <w:t>16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9.2.</w:t>
      </w:r>
      <w:r>
        <w:rPr>
          <w:rFonts w:cs="Arial"/>
          <w:b/>
          <w:color w:val="999999"/>
          <w:sz w:val="18"/>
          <w:szCs w:val="18"/>
        </w:rPr>
        <w:tab/>
        <w:t>Verlust, Beschädigung, Untergang</w:t>
      </w:r>
      <w:r>
        <w:rPr>
          <w:rFonts w:cs="Arial"/>
          <w:b/>
          <w:color w:val="999999"/>
          <w:sz w:val="18"/>
          <w:szCs w:val="18"/>
        </w:rPr>
        <w:tab/>
        <w:t>16</w:t>
      </w:r>
      <w:r>
        <w:rPr>
          <w:rFonts w:cs="Arial"/>
          <w:b/>
          <w:color w:val="999999"/>
          <w:sz w:val="18"/>
          <w:szCs w:val="18"/>
        </w:rPr>
        <w:tab/>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9.3.</w:t>
      </w:r>
      <w:r>
        <w:rPr>
          <w:rFonts w:cs="Arial"/>
          <w:b/>
          <w:color w:val="999999"/>
          <w:sz w:val="18"/>
          <w:szCs w:val="18"/>
        </w:rPr>
        <w:tab/>
        <w:t>Haftung bei verzögertem Lieferbeginn / Versorgungsstörung</w:t>
      </w:r>
      <w:r>
        <w:rPr>
          <w:rFonts w:cs="Arial"/>
          <w:b/>
          <w:color w:val="999999"/>
          <w:sz w:val="18"/>
          <w:szCs w:val="18"/>
        </w:rPr>
        <w:tab/>
        <w:t>16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9.4.</w:t>
      </w:r>
      <w:r>
        <w:rPr>
          <w:rFonts w:cs="Arial"/>
          <w:b/>
          <w:color w:val="999999"/>
          <w:sz w:val="18"/>
          <w:szCs w:val="18"/>
        </w:rPr>
        <w:tab/>
        <w:t>Haftung durch Schlechtleistung von Vorlieferanten</w:t>
      </w:r>
      <w:r>
        <w:rPr>
          <w:rFonts w:cs="Arial"/>
          <w:b/>
          <w:color w:val="999999"/>
          <w:sz w:val="18"/>
          <w:szCs w:val="18"/>
        </w:rPr>
        <w:tab/>
        <w:t>16</w:t>
      </w:r>
    </w:p>
    <w:p w:rsidR="00514D8B" w:rsidRDefault="00514D8B">
      <w:pPr>
        <w:spacing w:line="260" w:lineRule="exact"/>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10.</w:t>
      </w:r>
      <w:r>
        <w:rPr>
          <w:rFonts w:cs="Arial"/>
          <w:b/>
          <w:color w:val="00CCFF"/>
          <w:sz w:val="18"/>
          <w:szCs w:val="18"/>
        </w:rPr>
        <w:tab/>
        <w:t>Zutrittsrechte, Eingriffsrechte in die Anlage des Auftragnehmers</w:t>
      </w:r>
      <w:r>
        <w:rPr>
          <w:rFonts w:cs="Arial"/>
          <w:b/>
          <w:color w:val="00CCFF"/>
          <w:sz w:val="18"/>
          <w:szCs w:val="18"/>
        </w:rPr>
        <w:tab/>
        <w:t>16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10.1.</w:t>
      </w:r>
      <w:r>
        <w:rPr>
          <w:rFonts w:cs="Arial"/>
          <w:b/>
          <w:color w:val="999999"/>
          <w:sz w:val="18"/>
          <w:szCs w:val="18"/>
        </w:rPr>
        <w:tab/>
        <w:t>Zutrittsrechte des Auftragnehmers</w:t>
      </w:r>
      <w:r>
        <w:rPr>
          <w:rFonts w:cs="Arial"/>
          <w:b/>
          <w:color w:val="999999"/>
          <w:sz w:val="18"/>
          <w:szCs w:val="18"/>
        </w:rPr>
        <w:tab/>
        <w:t>16</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10.2.</w:t>
      </w:r>
      <w:r>
        <w:rPr>
          <w:rFonts w:cs="Arial"/>
          <w:b/>
          <w:color w:val="999999"/>
          <w:sz w:val="18"/>
          <w:szCs w:val="18"/>
        </w:rPr>
        <w:tab/>
        <w:t>Zutrittsrechte des Auftraggebers</w:t>
      </w:r>
      <w:r>
        <w:rPr>
          <w:rFonts w:cs="Arial"/>
          <w:b/>
          <w:color w:val="999999"/>
          <w:sz w:val="18"/>
          <w:szCs w:val="18"/>
        </w:rPr>
        <w:tab/>
        <w:t>16</w:t>
      </w:r>
    </w:p>
    <w:p w:rsidR="00514D8B" w:rsidRDefault="00EE4096">
      <w:pPr>
        <w:spacing w:line="260" w:lineRule="exact"/>
        <w:rPr>
          <w:b/>
          <w:color w:val="999999"/>
          <w:sz w:val="18"/>
          <w:szCs w:val="18"/>
        </w:rPr>
      </w:pPr>
      <w:r>
        <w:br w:type="page"/>
      </w: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lastRenderedPageBreak/>
        <w:t>11.</w:t>
      </w:r>
      <w:r>
        <w:rPr>
          <w:rFonts w:cs="Arial"/>
          <w:b/>
          <w:color w:val="00CCFF"/>
          <w:sz w:val="18"/>
          <w:szCs w:val="18"/>
        </w:rPr>
        <w:tab/>
        <w:t>Schiedsstelle</w:t>
      </w:r>
      <w:r>
        <w:rPr>
          <w:rFonts w:cs="Arial"/>
          <w:b/>
          <w:color w:val="00CCFF"/>
          <w:sz w:val="18"/>
          <w:szCs w:val="18"/>
        </w:rPr>
        <w:tab/>
        <w:t>17</w:t>
      </w:r>
    </w:p>
    <w:p w:rsidR="00514D8B" w:rsidRDefault="00514D8B">
      <w:pPr>
        <w:spacing w:line="260" w:lineRule="exact"/>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12.</w:t>
      </w:r>
      <w:r>
        <w:rPr>
          <w:rFonts w:cs="Arial"/>
          <w:b/>
          <w:color w:val="00CCFF"/>
          <w:sz w:val="18"/>
          <w:szCs w:val="18"/>
        </w:rPr>
        <w:tab/>
        <w:t>Wirtschaftsklausel und Kündigungsrechte</w:t>
      </w:r>
      <w:r>
        <w:rPr>
          <w:rFonts w:cs="Arial"/>
          <w:b/>
          <w:color w:val="00CCFF"/>
          <w:sz w:val="18"/>
          <w:szCs w:val="18"/>
        </w:rPr>
        <w:tab/>
        <w:t>17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12.1.</w:t>
      </w:r>
      <w:r>
        <w:rPr>
          <w:rFonts w:cs="Arial"/>
          <w:b/>
          <w:color w:val="999999"/>
          <w:sz w:val="18"/>
          <w:szCs w:val="18"/>
        </w:rPr>
        <w:tab/>
        <w:t>Kündigung aus unbilliger Härte</w:t>
      </w:r>
      <w:r>
        <w:rPr>
          <w:rFonts w:cs="Arial"/>
          <w:b/>
          <w:color w:val="999999"/>
          <w:sz w:val="18"/>
          <w:szCs w:val="18"/>
        </w:rPr>
        <w:tab/>
        <w:t>17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12.2.</w:t>
      </w:r>
      <w:r>
        <w:rPr>
          <w:rFonts w:cs="Arial"/>
          <w:b/>
          <w:color w:val="999999"/>
          <w:sz w:val="18"/>
          <w:szCs w:val="18"/>
        </w:rPr>
        <w:tab/>
        <w:t>Kündigung aus wichtigem Grund</w:t>
      </w:r>
      <w:r>
        <w:rPr>
          <w:rFonts w:cs="Arial"/>
          <w:b/>
          <w:color w:val="999999"/>
          <w:sz w:val="18"/>
          <w:szCs w:val="18"/>
        </w:rPr>
        <w:tab/>
        <w:t>17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12.3.</w:t>
      </w:r>
      <w:r>
        <w:rPr>
          <w:rFonts w:cs="Arial"/>
          <w:b/>
          <w:color w:val="999999"/>
          <w:sz w:val="18"/>
          <w:szCs w:val="18"/>
        </w:rPr>
        <w:tab/>
        <w:t>Kündigung durch den Auftragnehmer</w:t>
      </w:r>
      <w:r>
        <w:rPr>
          <w:rFonts w:cs="Arial"/>
          <w:b/>
          <w:color w:val="999999"/>
          <w:sz w:val="18"/>
          <w:szCs w:val="18"/>
        </w:rPr>
        <w:tab/>
        <w:t>17</w:t>
      </w:r>
    </w:p>
    <w:p w:rsidR="00514D8B" w:rsidRDefault="00514D8B">
      <w:pPr>
        <w:spacing w:line="260" w:lineRule="exact"/>
        <w:jc w:val="both"/>
        <w:outlineLvl w:val="0"/>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13.</w:t>
      </w:r>
      <w:r>
        <w:rPr>
          <w:rFonts w:cs="Arial"/>
          <w:b/>
          <w:color w:val="00CCFF"/>
          <w:sz w:val="18"/>
          <w:szCs w:val="18"/>
        </w:rPr>
        <w:tab/>
        <w:t>Rechtsnachfolge</w:t>
      </w:r>
      <w:r>
        <w:rPr>
          <w:rFonts w:cs="Arial"/>
          <w:b/>
          <w:color w:val="00CCFF"/>
          <w:sz w:val="18"/>
          <w:szCs w:val="18"/>
        </w:rPr>
        <w:tab/>
        <w:t>17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13.1.</w:t>
      </w:r>
      <w:r>
        <w:rPr>
          <w:rFonts w:cs="Arial"/>
          <w:b/>
          <w:color w:val="999999"/>
          <w:sz w:val="18"/>
          <w:szCs w:val="18"/>
        </w:rPr>
        <w:tab/>
        <w:t>Übertragung der Rechte und Pflichten auf Dritte</w:t>
      </w:r>
      <w:r>
        <w:rPr>
          <w:rFonts w:cs="Arial"/>
          <w:b/>
          <w:color w:val="999999"/>
          <w:sz w:val="18"/>
          <w:szCs w:val="18"/>
        </w:rPr>
        <w:tab/>
        <w:t>17</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13.2.</w:t>
      </w:r>
      <w:r>
        <w:rPr>
          <w:rFonts w:cs="Arial"/>
          <w:b/>
          <w:color w:val="999999"/>
          <w:sz w:val="18"/>
          <w:szCs w:val="18"/>
        </w:rPr>
        <w:tab/>
        <w:t>Haftungsregelungen bei Übertragung auf Dritte</w:t>
      </w:r>
      <w:r>
        <w:rPr>
          <w:rFonts w:cs="Arial"/>
          <w:b/>
          <w:color w:val="999999"/>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13.3.</w:t>
      </w:r>
      <w:r>
        <w:rPr>
          <w:rFonts w:cs="Arial"/>
          <w:b/>
          <w:color w:val="999999"/>
          <w:sz w:val="18"/>
          <w:szCs w:val="18"/>
        </w:rPr>
        <w:tab/>
        <w:t>Sicherheiten bei Übertragung auf Dritte</w:t>
      </w:r>
      <w:r>
        <w:rPr>
          <w:rFonts w:cs="Arial"/>
          <w:b/>
          <w:color w:val="999999"/>
          <w:sz w:val="18"/>
          <w:szCs w:val="18"/>
        </w:rPr>
        <w:tab/>
        <w:t>18</w:t>
      </w:r>
    </w:p>
    <w:p w:rsidR="00514D8B" w:rsidRDefault="00514D8B">
      <w:pPr>
        <w:spacing w:line="260" w:lineRule="exact"/>
        <w:jc w:val="both"/>
        <w:outlineLvl w:val="0"/>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14.</w:t>
      </w:r>
      <w:r>
        <w:rPr>
          <w:rFonts w:cs="Arial"/>
          <w:b/>
          <w:color w:val="00CCFF"/>
          <w:sz w:val="18"/>
          <w:szCs w:val="18"/>
        </w:rPr>
        <w:tab/>
        <w:t>Schlussbestimmungen</w:t>
      </w:r>
      <w:r>
        <w:rPr>
          <w:rFonts w:cs="Arial"/>
          <w:b/>
          <w:color w:val="00CCFF"/>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14.1.</w:t>
      </w:r>
      <w:r>
        <w:rPr>
          <w:rFonts w:cs="Arial"/>
          <w:b/>
          <w:color w:val="999999"/>
          <w:sz w:val="18"/>
          <w:szCs w:val="18"/>
        </w:rPr>
        <w:tab/>
        <w:t>Festlegung Schriftform</w:t>
      </w:r>
      <w:r>
        <w:rPr>
          <w:rFonts w:cs="Arial"/>
          <w:b/>
          <w:color w:val="999999"/>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14.2.</w:t>
      </w:r>
      <w:r>
        <w:rPr>
          <w:rFonts w:cs="Arial"/>
          <w:b/>
          <w:color w:val="999999"/>
          <w:sz w:val="18"/>
          <w:szCs w:val="18"/>
        </w:rPr>
        <w:tab/>
        <w:t>Teilunwirksamkeit</w:t>
      </w:r>
      <w:r>
        <w:rPr>
          <w:rFonts w:cs="Arial"/>
          <w:b/>
          <w:color w:val="999999"/>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14.3.</w:t>
      </w:r>
      <w:r>
        <w:rPr>
          <w:rFonts w:cs="Arial"/>
          <w:b/>
          <w:color w:val="999999"/>
          <w:sz w:val="18"/>
          <w:szCs w:val="18"/>
        </w:rPr>
        <w:tab/>
        <w:t>Salvatorische Klausel</w:t>
      </w:r>
      <w:r>
        <w:rPr>
          <w:rFonts w:cs="Arial"/>
          <w:b/>
          <w:color w:val="999999"/>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14.4.</w:t>
      </w:r>
      <w:r>
        <w:rPr>
          <w:rFonts w:cs="Arial"/>
          <w:b/>
          <w:color w:val="999999"/>
          <w:sz w:val="18"/>
          <w:szCs w:val="18"/>
        </w:rPr>
        <w:tab/>
        <w:t>Offenlegung von Rechtsverhältnissen des Auftragnehmers</w:t>
      </w:r>
      <w:r>
        <w:rPr>
          <w:rFonts w:cs="Arial"/>
          <w:b/>
          <w:color w:val="999999"/>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14.5.</w:t>
      </w:r>
      <w:r>
        <w:rPr>
          <w:rFonts w:cs="Arial"/>
          <w:b/>
          <w:color w:val="999999"/>
          <w:sz w:val="18"/>
          <w:szCs w:val="18"/>
        </w:rPr>
        <w:tab/>
        <w:t>Gerichtsstand</w:t>
      </w:r>
      <w:r>
        <w:rPr>
          <w:rFonts w:cs="Arial"/>
          <w:b/>
          <w:color w:val="999999"/>
          <w:sz w:val="18"/>
          <w:szCs w:val="18"/>
        </w:rPr>
        <w:tab/>
        <w:t>18</w:t>
      </w:r>
    </w:p>
    <w:p w:rsidR="00514D8B" w:rsidRDefault="00EE4096">
      <w:pPr>
        <w:tabs>
          <w:tab w:val="left" w:pos="567"/>
          <w:tab w:val="right" w:leader="dot" w:pos="8505"/>
        </w:tabs>
        <w:spacing w:line="260" w:lineRule="exact"/>
        <w:jc w:val="both"/>
        <w:rPr>
          <w:rFonts w:cs="Arial"/>
          <w:b/>
          <w:color w:val="999999"/>
          <w:sz w:val="18"/>
          <w:szCs w:val="18"/>
        </w:rPr>
      </w:pPr>
      <w:r>
        <w:rPr>
          <w:rFonts w:cs="Arial"/>
          <w:b/>
          <w:color w:val="999999"/>
          <w:sz w:val="18"/>
          <w:szCs w:val="18"/>
        </w:rPr>
        <w:t>14.6.</w:t>
      </w:r>
      <w:r>
        <w:rPr>
          <w:rFonts w:cs="Arial"/>
          <w:b/>
          <w:color w:val="999999"/>
          <w:sz w:val="18"/>
          <w:szCs w:val="18"/>
        </w:rPr>
        <w:tab/>
        <w:t>Anwendung der AVBFernwärmeV</w:t>
      </w:r>
      <w:r>
        <w:rPr>
          <w:rFonts w:cs="Arial"/>
          <w:b/>
          <w:color w:val="999999"/>
          <w:sz w:val="18"/>
          <w:szCs w:val="18"/>
        </w:rPr>
        <w:tab/>
        <w:t>18</w:t>
      </w:r>
    </w:p>
    <w:p w:rsidR="00514D8B" w:rsidRDefault="00514D8B">
      <w:pPr>
        <w:spacing w:line="260" w:lineRule="exact"/>
        <w:jc w:val="both"/>
        <w:outlineLvl w:val="0"/>
        <w:rPr>
          <w:b/>
          <w:color w:val="999999"/>
          <w:sz w:val="18"/>
          <w:szCs w:val="18"/>
        </w:rPr>
      </w:pPr>
    </w:p>
    <w:p w:rsidR="00514D8B" w:rsidRDefault="00EE4096">
      <w:pPr>
        <w:tabs>
          <w:tab w:val="left" w:pos="567"/>
          <w:tab w:val="right" w:leader="dot" w:pos="8505"/>
        </w:tabs>
        <w:spacing w:line="260" w:lineRule="exact"/>
        <w:jc w:val="both"/>
        <w:rPr>
          <w:rFonts w:cs="Arial"/>
          <w:b/>
          <w:color w:val="00CCFF"/>
          <w:sz w:val="18"/>
          <w:szCs w:val="18"/>
        </w:rPr>
      </w:pPr>
      <w:r>
        <w:rPr>
          <w:rFonts w:cs="Arial"/>
          <w:b/>
          <w:color w:val="00CCFF"/>
          <w:sz w:val="18"/>
          <w:szCs w:val="18"/>
        </w:rPr>
        <w:t>15.</w:t>
      </w:r>
      <w:r>
        <w:rPr>
          <w:rFonts w:cs="Arial"/>
          <w:b/>
          <w:color w:val="00CCFF"/>
          <w:sz w:val="18"/>
          <w:szCs w:val="18"/>
        </w:rPr>
        <w:tab/>
        <w:t>Anlagen</w:t>
      </w:r>
      <w:r>
        <w:rPr>
          <w:rFonts w:cs="Arial"/>
          <w:b/>
          <w:color w:val="00CCFF"/>
          <w:sz w:val="18"/>
          <w:szCs w:val="18"/>
        </w:rPr>
        <w:tab/>
        <w:t>19</w:t>
      </w:r>
    </w:p>
    <w:p w:rsidR="00514D8B" w:rsidRDefault="00514D8B">
      <w:pPr>
        <w:rPr>
          <w:rFonts w:cs="Arial"/>
          <w:b/>
          <w:color w:val="999999"/>
          <w:sz w:val="18"/>
          <w:szCs w:val="18"/>
        </w:rPr>
      </w:pPr>
    </w:p>
    <w:p w:rsidR="00514D8B" w:rsidRDefault="00514D8B">
      <w:pPr>
        <w:spacing w:line="400" w:lineRule="exact"/>
        <w:rPr>
          <w:smallCaps/>
        </w:rPr>
        <w:sectPr w:rsidR="00514D8B">
          <w:headerReference w:type="default" r:id="rId14"/>
          <w:footerReference w:type="default" r:id="rId15"/>
          <w:pgSz w:w="11906" w:h="16838" w:code="9"/>
          <w:pgMar w:top="1134" w:right="1418" w:bottom="1418" w:left="1418" w:header="851" w:footer="567" w:gutter="0"/>
          <w:cols w:space="708"/>
          <w:docGrid w:linePitch="360"/>
        </w:sectPr>
      </w:pPr>
    </w:p>
    <w:p w:rsidR="00514D8B" w:rsidRDefault="00EE4096">
      <w:pPr>
        <w:tabs>
          <w:tab w:val="left" w:pos="0"/>
          <w:tab w:val="left" w:pos="567"/>
        </w:tabs>
        <w:spacing w:line="260" w:lineRule="exact"/>
        <w:ind w:left="567" w:hanging="567"/>
        <w:jc w:val="both"/>
        <w:outlineLvl w:val="0"/>
        <w:rPr>
          <w:b/>
          <w:color w:val="00CCFF"/>
          <w:sz w:val="18"/>
          <w:szCs w:val="18"/>
        </w:rPr>
      </w:pPr>
      <w:bookmarkStart w:id="3" w:name="_Ref149104973"/>
      <w:bookmarkStart w:id="4" w:name="_Toc189878117"/>
      <w:r>
        <w:rPr>
          <w:b/>
          <w:color w:val="00CCFF"/>
          <w:sz w:val="18"/>
          <w:szCs w:val="18"/>
        </w:rPr>
        <w:t>0.</w:t>
      </w:r>
      <w:r>
        <w:rPr>
          <w:b/>
          <w:color w:val="00CCFF"/>
          <w:sz w:val="18"/>
          <w:szCs w:val="18"/>
        </w:rPr>
        <w:tab/>
        <w:t>Präambel</w:t>
      </w:r>
      <w:bookmarkEnd w:id="3"/>
      <w:bookmarkEnd w:id="4"/>
    </w:p>
    <w:p w:rsidR="00514D8B" w:rsidRDefault="00514D8B">
      <w:pPr>
        <w:tabs>
          <w:tab w:val="left" w:pos="720"/>
        </w:tabs>
        <w:spacing w:line="260" w:lineRule="exact"/>
        <w:ind w:left="567"/>
        <w:jc w:val="both"/>
        <w:rPr>
          <w:sz w:val="18"/>
          <w:szCs w:val="18"/>
        </w:rPr>
      </w:pPr>
    </w:p>
    <w:p w:rsidR="00514D8B" w:rsidRDefault="00EE4096">
      <w:pPr>
        <w:tabs>
          <w:tab w:val="left" w:pos="0"/>
        </w:tabs>
        <w:spacing w:line="260" w:lineRule="exact"/>
        <w:jc w:val="both"/>
        <w:rPr>
          <w:b/>
          <w:sz w:val="18"/>
          <w:szCs w:val="18"/>
        </w:rPr>
      </w:pPr>
      <w:r>
        <w:rPr>
          <w:b/>
          <w:color w:val="999999"/>
          <w:sz w:val="18"/>
          <w:szCs w:val="18"/>
        </w:rPr>
        <w:t>0.1.</w:t>
      </w:r>
      <w:r>
        <w:rPr>
          <w:b/>
          <w:sz w:val="18"/>
          <w:szCs w:val="18"/>
        </w:rPr>
        <w:tab/>
      </w:r>
      <w:r>
        <w:rPr>
          <w:b/>
          <w:color w:val="999999"/>
          <w:sz w:val="18"/>
          <w:szCs w:val="18"/>
        </w:rPr>
        <w:t>Vertragszweck</w:t>
      </w:r>
    </w:p>
    <w:p w:rsidR="00514D8B" w:rsidRDefault="00EE4096">
      <w:pPr>
        <w:tabs>
          <w:tab w:val="left" w:pos="0"/>
        </w:tabs>
        <w:spacing w:line="260" w:lineRule="exact"/>
        <w:ind w:left="567"/>
        <w:jc w:val="both"/>
        <w:rPr>
          <w:sz w:val="18"/>
          <w:szCs w:val="18"/>
        </w:rPr>
      </w:pPr>
      <w:r>
        <w:rPr>
          <w:sz w:val="18"/>
          <w:szCs w:val="18"/>
        </w:rPr>
        <w:t>Die Versorgung der Liegenschaft mit Wärme/Kälte (nachfolgend „Energie“ genannt) durch den Auftra</w:t>
      </w:r>
      <w:r>
        <w:rPr>
          <w:sz w:val="18"/>
          <w:szCs w:val="18"/>
        </w:rPr>
        <w:t>g</w:t>
      </w:r>
      <w:r>
        <w:rPr>
          <w:sz w:val="18"/>
          <w:szCs w:val="18"/>
        </w:rPr>
        <w:t>nehmer soll über moderne und energiesparende Energieerzeugungsanlagen erfolgen (siehe auch Lei</w:t>
      </w:r>
      <w:r>
        <w:rPr>
          <w:sz w:val="18"/>
          <w:szCs w:val="18"/>
        </w:rPr>
        <w:t>s</w:t>
      </w:r>
      <w:r>
        <w:rPr>
          <w:sz w:val="18"/>
          <w:szCs w:val="18"/>
        </w:rPr>
        <w:t>tungsbeschreibung, Anlage 3). Dabei sollen die Umweltbelastung gering und die Versorgungssicherheit hoch sein.</w:t>
      </w:r>
    </w:p>
    <w:p w:rsidR="00514D8B" w:rsidRDefault="00514D8B">
      <w:pPr>
        <w:tabs>
          <w:tab w:val="left" w:pos="720"/>
        </w:tabs>
        <w:spacing w:line="260" w:lineRule="exact"/>
        <w:ind w:left="567"/>
        <w:jc w:val="both"/>
        <w:rPr>
          <w:sz w:val="18"/>
          <w:szCs w:val="18"/>
        </w:rPr>
      </w:pPr>
    </w:p>
    <w:p w:rsidR="00514D8B" w:rsidRDefault="00EE4096">
      <w:pPr>
        <w:tabs>
          <w:tab w:val="left" w:pos="0"/>
        </w:tabs>
        <w:spacing w:line="260" w:lineRule="exact"/>
        <w:ind w:left="540"/>
        <w:jc w:val="both"/>
        <w:rPr>
          <w:sz w:val="18"/>
          <w:szCs w:val="18"/>
        </w:rPr>
      </w:pPr>
      <w:r>
        <w:rPr>
          <w:sz w:val="18"/>
          <w:szCs w:val="18"/>
        </w:rPr>
        <w:t>Die Vertragsleistung des Auftragnehmers soll auf Seiten des Auftraggebers gegenüber einer Eigenverso</w:t>
      </w:r>
      <w:r>
        <w:rPr>
          <w:sz w:val="18"/>
          <w:szCs w:val="18"/>
        </w:rPr>
        <w:t>r</w:t>
      </w:r>
      <w:r>
        <w:rPr>
          <w:sz w:val="18"/>
          <w:szCs w:val="18"/>
        </w:rPr>
        <w:t>gung zu einer Gesamtkostenentlastung führen. Des Weiteren sind sich die Parteien einig, dass eine Ene</w:t>
      </w:r>
      <w:r>
        <w:rPr>
          <w:sz w:val="18"/>
          <w:szCs w:val="18"/>
        </w:rPr>
        <w:t>r</w:t>
      </w:r>
      <w:r>
        <w:rPr>
          <w:sz w:val="18"/>
          <w:szCs w:val="18"/>
        </w:rPr>
        <w:t>gieversorgung aufgrund der damit verbundenen notwendigen investiven Maßnahmen eine langfristig ang</w:t>
      </w:r>
      <w:r>
        <w:rPr>
          <w:sz w:val="18"/>
          <w:szCs w:val="18"/>
        </w:rPr>
        <w:t>e</w:t>
      </w:r>
      <w:r>
        <w:rPr>
          <w:sz w:val="18"/>
          <w:szCs w:val="18"/>
        </w:rPr>
        <w:t>legte Zusammenarbeit erfordert. Vor Abschluss dieses Vertrages wurde die voraussichtliche Kostensituat</w:t>
      </w:r>
      <w:r>
        <w:rPr>
          <w:sz w:val="18"/>
          <w:szCs w:val="18"/>
        </w:rPr>
        <w:t>i</w:t>
      </w:r>
      <w:r>
        <w:rPr>
          <w:sz w:val="18"/>
          <w:szCs w:val="18"/>
        </w:rPr>
        <w:t>on für die Vertragslaufzeit überprüft. Zwischen Auftragnehmer und Auftraggeber besteht Einigkeit, dass mit der nun vereinbarten Vergütung das in Satz 1 dieses Absatzes genannte Ziel erreicht werden kann.</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ind w:left="567" w:hanging="567"/>
        <w:jc w:val="both"/>
        <w:outlineLvl w:val="0"/>
        <w:rPr>
          <w:b/>
          <w:color w:val="00CCFF"/>
          <w:sz w:val="18"/>
          <w:szCs w:val="18"/>
        </w:rPr>
      </w:pPr>
      <w:bookmarkStart w:id="5" w:name="_Ref435463861"/>
      <w:bookmarkStart w:id="6" w:name="_Toc189878118"/>
      <w:r>
        <w:rPr>
          <w:b/>
          <w:color w:val="00CCFF"/>
          <w:sz w:val="18"/>
          <w:szCs w:val="18"/>
        </w:rPr>
        <w:t>1.</w:t>
      </w:r>
      <w:r>
        <w:rPr>
          <w:b/>
          <w:color w:val="00CCFF"/>
          <w:sz w:val="18"/>
          <w:szCs w:val="18"/>
        </w:rPr>
        <w:tab/>
        <w:t>Vertragsgegenstand und Vertragslaufzeit</w:t>
      </w:r>
      <w:bookmarkEnd w:id="5"/>
      <w:bookmarkEnd w:id="6"/>
    </w:p>
    <w:p w:rsidR="00514D8B" w:rsidRDefault="00514D8B">
      <w:pPr>
        <w:tabs>
          <w:tab w:val="left" w:pos="720"/>
        </w:tabs>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1.1.</w:t>
      </w:r>
      <w:r>
        <w:rPr>
          <w:b/>
          <w:color w:val="999999"/>
          <w:sz w:val="18"/>
          <w:szCs w:val="18"/>
        </w:rPr>
        <w:tab/>
        <w:t>Vertragsgegenstand</w:t>
      </w:r>
    </w:p>
    <w:p w:rsidR="00514D8B" w:rsidRDefault="00EE4096">
      <w:pPr>
        <w:spacing w:line="260" w:lineRule="exact"/>
        <w:ind w:left="567"/>
        <w:jc w:val="both"/>
        <w:rPr>
          <w:sz w:val="18"/>
          <w:szCs w:val="18"/>
        </w:rPr>
      </w:pPr>
      <w:bookmarkStart w:id="7" w:name="_Ref435530976"/>
      <w:bookmarkStart w:id="8" w:name="_Ref248125044"/>
      <w:r>
        <w:rPr>
          <w:sz w:val="18"/>
          <w:szCs w:val="18"/>
        </w:rPr>
        <w:t>Der Auftragnehmer verpflichtet sich, den Auftraggeber in Bezug auf die Liegenschaft mit Energie z. B. für</w:t>
      </w:r>
      <w:bookmarkEnd w:id="7"/>
      <w:r>
        <w:rPr>
          <w:sz w:val="18"/>
          <w:szCs w:val="18"/>
        </w:rPr>
        <w:t xml:space="preserve"> Trinkwarmwasserbereitung, Raumluftaufbereitung, Kühlung und/oder für die Raumheizung zu versorgen. Hierzu errichtet er eine Energieerzeugungsanlage, die dazu erforderlichen baulichen Anlagen, die Fernle</w:t>
      </w:r>
      <w:r>
        <w:rPr>
          <w:sz w:val="18"/>
          <w:szCs w:val="18"/>
        </w:rPr>
        <w:t>i</w:t>
      </w:r>
      <w:r>
        <w:rPr>
          <w:sz w:val="18"/>
          <w:szCs w:val="18"/>
        </w:rPr>
        <w:t>tung von der Energieerzeugungsanlage zur Übergabestelle sowie die notwendigen Anschluss-, Verte</w:t>
      </w:r>
      <w:r>
        <w:rPr>
          <w:sz w:val="18"/>
          <w:szCs w:val="18"/>
        </w:rPr>
        <w:t>i</w:t>
      </w:r>
      <w:r>
        <w:rPr>
          <w:sz w:val="18"/>
          <w:szCs w:val="18"/>
        </w:rPr>
        <w:t>lungs- und Nebenanlagen (nachfolgend als „Anlage“ bezeichnet).</w:t>
      </w:r>
    </w:p>
    <w:p w:rsidR="00514D8B" w:rsidRDefault="00EE4096">
      <w:pPr>
        <w:spacing w:line="260" w:lineRule="exact"/>
        <w:ind w:left="567"/>
        <w:jc w:val="both"/>
        <w:rPr>
          <w:sz w:val="18"/>
          <w:szCs w:val="18"/>
        </w:rPr>
      </w:pPr>
      <w:r>
        <w:rPr>
          <w:sz w:val="18"/>
          <w:szCs w:val="18"/>
        </w:rPr>
        <w:t>Der Auftraggeber verpflichtet sich, seinen Bedarf in Bezug auf die Liegenschaft im vereinbarten Umfang ausschließlich aus der Anlage des Auftragnehmers zu decken.</w:t>
      </w:r>
      <w:bookmarkEnd w:id="8"/>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1.2.</w:t>
      </w:r>
      <w:r>
        <w:rPr>
          <w:b/>
          <w:color w:val="999999"/>
          <w:sz w:val="18"/>
          <w:szCs w:val="18"/>
        </w:rPr>
        <w:tab/>
        <w:t>Vertragbeginn und -ende</w:t>
      </w:r>
    </w:p>
    <w:p w:rsidR="00514D8B" w:rsidRDefault="00EE4096">
      <w:pPr>
        <w:spacing w:line="260" w:lineRule="exact"/>
        <w:ind w:left="567"/>
        <w:jc w:val="both"/>
        <w:rPr>
          <w:sz w:val="18"/>
          <w:szCs w:val="18"/>
        </w:rPr>
      </w:pPr>
      <w:bookmarkStart w:id="9" w:name="_Ref185649891"/>
      <w:r>
        <w:rPr>
          <w:sz w:val="18"/>
          <w:szCs w:val="18"/>
        </w:rPr>
        <w:t>Dieser Vertrag tritt mit Unterzeichnung in Kraft und endet mit vertragsgemäßer Erfüllung der vereinbarten Leistung.</w:t>
      </w:r>
      <w:bookmarkEnd w:id="9"/>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1.3.</w:t>
      </w:r>
      <w:r>
        <w:rPr>
          <w:b/>
          <w:color w:val="999999"/>
          <w:sz w:val="18"/>
          <w:szCs w:val="18"/>
        </w:rPr>
        <w:tab/>
        <w:t>Versorgungsbeginn und -ende</w:t>
      </w:r>
    </w:p>
    <w:p w:rsidR="00514D8B" w:rsidRDefault="00EE4096">
      <w:pPr>
        <w:spacing w:line="260" w:lineRule="exact"/>
        <w:ind w:left="567"/>
        <w:jc w:val="both"/>
        <w:rPr>
          <w:sz w:val="18"/>
          <w:szCs w:val="18"/>
        </w:rPr>
      </w:pPr>
      <w:bookmarkStart w:id="10" w:name="_Ref248125658"/>
      <w:r>
        <w:rPr>
          <w:sz w:val="18"/>
          <w:szCs w:val="18"/>
        </w:rPr>
        <w:t xml:space="preserve">Versorgungsbeginn und -ende sind </w:t>
      </w:r>
      <w:bookmarkStart w:id="11" w:name="Text81"/>
      <w:r>
        <w:rPr>
          <w:sz w:val="18"/>
          <w:szCs w:val="18"/>
        </w:rPr>
        <w:t xml:space="preserve">im Vertragsdatenblatt (Anlage 1) festgelegt. </w:t>
      </w:r>
      <w:bookmarkEnd w:id="11"/>
      <w:r>
        <w:rPr>
          <w:sz w:val="18"/>
          <w:szCs w:val="18"/>
        </w:rPr>
        <w:t>Bei Verzögerungen</w:t>
      </w:r>
      <w:r>
        <w:rPr>
          <w:rFonts w:cs="Arial"/>
          <w:sz w:val="18"/>
          <w:szCs w:val="18"/>
        </w:rPr>
        <w:t xml:space="preserve"> aus Gründen, die nicht aus dem Verantwortungsbereich des Auftragnehmers herrühren,</w:t>
      </w:r>
      <w:r>
        <w:rPr>
          <w:sz w:val="18"/>
          <w:szCs w:val="18"/>
        </w:rPr>
        <w:t xml:space="preserve"> verschiebt sich der Beginn der Versorgung bzw. der Abschluss der Baumaßnahmen bis zu dem Zeitpunkt, an dem der Grund der Verzögerung entfallen ist. Für den Fall, dass die Verzögerung</w:t>
      </w:r>
      <w:r>
        <w:rPr>
          <w:rFonts w:cs="Arial"/>
          <w:sz w:val="18"/>
          <w:szCs w:val="18"/>
        </w:rPr>
        <w:t xml:space="preserve"> aus dem Verantwortungsbereich des Auftragnehmers herrührt,</w:t>
      </w:r>
      <w:r>
        <w:rPr>
          <w:sz w:val="18"/>
          <w:szCs w:val="18"/>
        </w:rPr>
        <w:t xml:space="preserve"> gilt Ziffer 9. dieses Vertrages.</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b/>
          <w:color w:val="00CCFF"/>
          <w:sz w:val="18"/>
          <w:szCs w:val="18"/>
        </w:rPr>
      </w:pPr>
      <w:bookmarkStart w:id="12" w:name="_Ref152988298"/>
      <w:bookmarkStart w:id="13" w:name="_Toc189878119"/>
      <w:bookmarkEnd w:id="10"/>
      <w:r>
        <w:rPr>
          <w:b/>
          <w:color w:val="00CCFF"/>
          <w:sz w:val="18"/>
          <w:szCs w:val="18"/>
        </w:rPr>
        <w:t>2.</w:t>
      </w:r>
      <w:r>
        <w:rPr>
          <w:b/>
          <w:color w:val="00CCFF"/>
          <w:sz w:val="18"/>
          <w:szCs w:val="18"/>
        </w:rPr>
        <w:tab/>
        <w:t xml:space="preserve">Umfang der </w:t>
      </w:r>
      <w:bookmarkEnd w:id="12"/>
      <w:bookmarkEnd w:id="13"/>
      <w:r>
        <w:rPr>
          <w:b/>
          <w:color w:val="00CCFF"/>
          <w:sz w:val="18"/>
          <w:szCs w:val="18"/>
        </w:rPr>
        <w:t>Energieversorgung</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2.1.</w:t>
      </w:r>
      <w:r>
        <w:rPr>
          <w:b/>
          <w:color w:val="999999"/>
          <w:sz w:val="18"/>
          <w:szCs w:val="18"/>
        </w:rPr>
        <w:tab/>
        <w:t>Lieferparameter</w:t>
      </w:r>
    </w:p>
    <w:p w:rsidR="00514D8B" w:rsidRDefault="00EE4096">
      <w:pPr>
        <w:spacing w:line="260" w:lineRule="exact"/>
        <w:ind w:left="567"/>
        <w:jc w:val="both"/>
        <w:rPr>
          <w:sz w:val="18"/>
          <w:szCs w:val="18"/>
        </w:rPr>
      </w:pPr>
      <w:bookmarkStart w:id="14" w:name="_Ref248124867"/>
      <w:r>
        <w:rPr>
          <w:sz w:val="18"/>
          <w:szCs w:val="18"/>
        </w:rPr>
        <w:t>Der Auftragnehmer liefert ganzjährig die Energie mit den in der Leistungsbeschreibung (Anlage 3) festg</w:t>
      </w:r>
      <w:r>
        <w:rPr>
          <w:sz w:val="18"/>
          <w:szCs w:val="18"/>
        </w:rPr>
        <w:t>e</w:t>
      </w:r>
      <w:r>
        <w:rPr>
          <w:sz w:val="18"/>
          <w:szCs w:val="18"/>
        </w:rPr>
        <w:t>legten Parametern.</w:t>
      </w:r>
    </w:p>
    <w:bookmarkEnd w:id="14"/>
    <w:p w:rsidR="00514D8B" w:rsidRDefault="00514D8B">
      <w:pPr>
        <w:spacing w:line="260" w:lineRule="exact"/>
        <w:ind w:left="567"/>
        <w:jc w:val="both"/>
        <w:rPr>
          <w:sz w:val="18"/>
          <w:szCs w:val="18"/>
        </w:rPr>
      </w:pPr>
    </w:p>
    <w:p w:rsidR="00514D8B" w:rsidRDefault="00EE4096">
      <w:pPr>
        <w:tabs>
          <w:tab w:val="left" w:pos="0"/>
        </w:tabs>
        <w:spacing w:line="260" w:lineRule="exact"/>
        <w:jc w:val="both"/>
        <w:rPr>
          <w:b/>
          <w:color w:val="999999"/>
          <w:sz w:val="18"/>
          <w:szCs w:val="18"/>
        </w:rPr>
      </w:pPr>
      <w:r>
        <w:rPr>
          <w:b/>
          <w:color w:val="999999"/>
          <w:sz w:val="18"/>
          <w:szCs w:val="18"/>
        </w:rPr>
        <w:t>2.2.</w:t>
      </w:r>
      <w:r>
        <w:rPr>
          <w:b/>
          <w:color w:val="999999"/>
          <w:sz w:val="18"/>
          <w:szCs w:val="18"/>
        </w:rPr>
        <w:tab/>
        <w:t>Abweichungen von Lieferparametern</w:t>
      </w:r>
    </w:p>
    <w:p w:rsidR="00514D8B" w:rsidRDefault="00EE4096">
      <w:pPr>
        <w:spacing w:line="260" w:lineRule="exact"/>
        <w:ind w:left="567"/>
        <w:jc w:val="both"/>
        <w:rPr>
          <w:sz w:val="18"/>
          <w:szCs w:val="18"/>
        </w:rPr>
      </w:pPr>
      <w:bookmarkStart w:id="15" w:name="_Ref159719774"/>
      <w:r>
        <w:rPr>
          <w:sz w:val="18"/>
          <w:szCs w:val="18"/>
        </w:rPr>
        <w:t>Weicht die gemessene Heiz-/Kältelast von der vertraglich vereinbarten Heiz-/Kältelast ab, so wird der Ve</w:t>
      </w:r>
      <w:r>
        <w:rPr>
          <w:sz w:val="18"/>
          <w:szCs w:val="18"/>
        </w:rPr>
        <w:t>r</w:t>
      </w:r>
      <w:r>
        <w:rPr>
          <w:sz w:val="18"/>
          <w:szCs w:val="18"/>
        </w:rPr>
        <w:t>trag mit unverändertem Basiswert des Jahresgrundpreises über die gesamte Laufzeit fortgesetzt.</w:t>
      </w:r>
      <w:bookmarkEnd w:id="15"/>
    </w:p>
    <w:p w:rsidR="00514D8B" w:rsidRDefault="00514D8B">
      <w:pPr>
        <w:spacing w:line="260" w:lineRule="exact"/>
        <w:ind w:left="567"/>
        <w:jc w:val="both"/>
        <w:rPr>
          <w:sz w:val="18"/>
          <w:szCs w:val="18"/>
        </w:rPr>
      </w:pPr>
    </w:p>
    <w:p w:rsidR="00514D8B" w:rsidRDefault="00EE4096">
      <w:pPr>
        <w:spacing w:line="260" w:lineRule="exact"/>
        <w:ind w:left="567"/>
        <w:jc w:val="both"/>
        <w:rPr>
          <w:sz w:val="18"/>
          <w:szCs w:val="18"/>
        </w:rPr>
      </w:pPr>
      <w:r>
        <w:rPr>
          <w:sz w:val="18"/>
          <w:szCs w:val="18"/>
        </w:rPr>
        <w:t>Wird im Falle einer Erhöhung der vertraglich vereinbarten Heiz-/Kältelast um mehr als 10 % eine Erweit</w:t>
      </w:r>
      <w:r>
        <w:rPr>
          <w:sz w:val="18"/>
          <w:szCs w:val="18"/>
        </w:rPr>
        <w:t>e</w:t>
      </w:r>
      <w:r>
        <w:rPr>
          <w:sz w:val="18"/>
          <w:szCs w:val="18"/>
        </w:rPr>
        <w:t>rung der Anlage des Auftragnehmers notwendig, kann der Auftragnehmer abweichend von den Regelu</w:t>
      </w:r>
      <w:r>
        <w:rPr>
          <w:sz w:val="18"/>
          <w:szCs w:val="18"/>
        </w:rPr>
        <w:t>n</w:t>
      </w:r>
      <w:r>
        <w:rPr>
          <w:sz w:val="18"/>
          <w:szCs w:val="18"/>
        </w:rPr>
        <w:t>gen nach Ziffer 5.1 einen Anschlusskostenbeitrag verlangen. Die Höhe des Anschlusskostenbeitrags wird zwischen den Parteien ausgehandelt; der Auftragnehmer legt die hierzu erforderlichen Kalkulationen vor.</w:t>
      </w:r>
    </w:p>
    <w:p w:rsidR="00514D8B" w:rsidRDefault="00514D8B">
      <w:pPr>
        <w:spacing w:line="260" w:lineRule="exact"/>
        <w:jc w:val="both"/>
        <w:rPr>
          <w:sz w:val="18"/>
          <w:szCs w:val="18"/>
        </w:rPr>
      </w:pPr>
    </w:p>
    <w:p w:rsidR="00514D8B" w:rsidRDefault="00EE4096">
      <w:pPr>
        <w:keepNext/>
        <w:spacing w:line="260" w:lineRule="exact"/>
        <w:jc w:val="both"/>
        <w:rPr>
          <w:b/>
          <w:color w:val="999999"/>
          <w:sz w:val="18"/>
          <w:szCs w:val="18"/>
        </w:rPr>
      </w:pPr>
      <w:r>
        <w:rPr>
          <w:b/>
          <w:color w:val="999999"/>
          <w:sz w:val="18"/>
          <w:szCs w:val="18"/>
        </w:rPr>
        <w:t>2.3.</w:t>
      </w:r>
      <w:r>
        <w:rPr>
          <w:b/>
          <w:color w:val="999999"/>
          <w:sz w:val="18"/>
          <w:szCs w:val="18"/>
        </w:rPr>
        <w:tab/>
        <w:t>Veränderungen durch Maßnahmen des Auftraggebers</w:t>
      </w:r>
    </w:p>
    <w:p w:rsidR="00514D8B" w:rsidRDefault="00EE4096">
      <w:pPr>
        <w:keepNext/>
        <w:spacing w:line="260" w:lineRule="exact"/>
        <w:ind w:left="567"/>
        <w:jc w:val="both"/>
        <w:rPr>
          <w:sz w:val="18"/>
          <w:szCs w:val="18"/>
        </w:rPr>
      </w:pPr>
      <w:r>
        <w:rPr>
          <w:sz w:val="18"/>
          <w:szCs w:val="18"/>
        </w:rPr>
        <w:t>Der Vertrag wird auch mit unverändertem Basiswert des Jahresgrundpreises fortgesetzt, wenn sich durch Maßnahmen des Auftraggebers (z.B. Wärmeschutzmaßnahmen, Verkleinerung oder Vergrößerung der zu versorgenden Fläche) der vereinbarte Umfang der Vertragsleistung verringert oder erhöht. Kann allerdings bei Maßnahmen, die zu einer Erhöhung der vertraglichen Leistung führen würden (z.B. zusätzliches G</w:t>
      </w:r>
      <w:r>
        <w:rPr>
          <w:sz w:val="18"/>
          <w:szCs w:val="18"/>
        </w:rPr>
        <w:t>e</w:t>
      </w:r>
      <w:r>
        <w:rPr>
          <w:sz w:val="18"/>
          <w:szCs w:val="18"/>
        </w:rPr>
        <w:t>bäude in der Liegenschaft), die erhöhte Leistung nicht aus der bestehenden Anlage des Auftragnehmers erbracht werden, so bleibt es der Entscheidung des Auftraggebers überlassen, auf eine Vertragsanpa</w:t>
      </w:r>
      <w:r>
        <w:rPr>
          <w:sz w:val="18"/>
          <w:szCs w:val="18"/>
        </w:rPr>
        <w:t>s</w:t>
      </w:r>
      <w:r>
        <w:rPr>
          <w:sz w:val="18"/>
          <w:szCs w:val="18"/>
        </w:rPr>
        <w:t>sung mit dem Auftragnehmer hinzuwirken oder selbst für den Energiebedarf hinsichtlich der baulichen E</w:t>
      </w:r>
      <w:r>
        <w:rPr>
          <w:sz w:val="18"/>
          <w:szCs w:val="18"/>
        </w:rPr>
        <w:t>r</w:t>
      </w:r>
      <w:r>
        <w:rPr>
          <w:sz w:val="18"/>
          <w:szCs w:val="18"/>
        </w:rPr>
        <w:t>weiterung zu sorgen.</w:t>
      </w:r>
    </w:p>
    <w:p w:rsidR="00514D8B" w:rsidRDefault="00514D8B">
      <w:pPr>
        <w:spacing w:line="260" w:lineRule="exact"/>
        <w:ind w:left="540"/>
        <w:jc w:val="both"/>
        <w:rPr>
          <w:sz w:val="18"/>
          <w:szCs w:val="18"/>
        </w:rPr>
      </w:pPr>
    </w:p>
    <w:p w:rsidR="00514D8B" w:rsidRDefault="00EE4096">
      <w:pPr>
        <w:numPr>
          <w:ilvl w:val="1"/>
          <w:numId w:val="34"/>
        </w:numPr>
        <w:spacing w:line="260" w:lineRule="exact"/>
        <w:jc w:val="both"/>
        <w:rPr>
          <w:b/>
          <w:color w:val="999999"/>
          <w:sz w:val="18"/>
          <w:szCs w:val="18"/>
        </w:rPr>
      </w:pPr>
      <w:r>
        <w:rPr>
          <w:b/>
          <w:color w:val="999999"/>
          <w:sz w:val="18"/>
          <w:szCs w:val="18"/>
        </w:rPr>
        <w:t>Wasserqualität</w:t>
      </w:r>
    </w:p>
    <w:p w:rsidR="00514D8B" w:rsidRDefault="00EE4096">
      <w:pPr>
        <w:spacing w:line="260" w:lineRule="exact"/>
        <w:ind w:left="567"/>
        <w:jc w:val="both"/>
        <w:rPr>
          <w:sz w:val="18"/>
          <w:szCs w:val="18"/>
        </w:rPr>
      </w:pPr>
      <w:r>
        <w:rPr>
          <w:sz w:val="18"/>
          <w:szCs w:val="18"/>
        </w:rPr>
        <w:t>Der Auftragnehmer ist für den Fall, dass an der Übergabestelle keine Netztrennung durch Wärmetauscher vorgesehen ist, für das Einstellen und die Einhaltung der Wasserqualität verantwortlich. Füll- und Ergä</w:t>
      </w:r>
      <w:r>
        <w:rPr>
          <w:sz w:val="18"/>
          <w:szCs w:val="18"/>
        </w:rPr>
        <w:t>n</w:t>
      </w:r>
      <w:r>
        <w:rPr>
          <w:sz w:val="18"/>
          <w:szCs w:val="18"/>
        </w:rPr>
        <w:t>zungswassermenge sind durch den Auftragnehmer zu erfassen und zu dokumentieren. Für die Wasse</w:t>
      </w:r>
      <w:r>
        <w:rPr>
          <w:sz w:val="18"/>
          <w:szCs w:val="18"/>
        </w:rPr>
        <w:t>r</w:t>
      </w:r>
      <w:r>
        <w:rPr>
          <w:sz w:val="18"/>
          <w:szCs w:val="18"/>
        </w:rPr>
        <w:t>qualität sind insbesondere die VDI 2035 und das VdTÜV-Merkblatt „Technische Chemie 1466“ anzuwe</w:t>
      </w:r>
      <w:r>
        <w:rPr>
          <w:sz w:val="18"/>
          <w:szCs w:val="18"/>
        </w:rPr>
        <w:t>n</w:t>
      </w:r>
      <w:r>
        <w:rPr>
          <w:sz w:val="18"/>
          <w:szCs w:val="18"/>
        </w:rPr>
        <w:t>den. Es sind die im Vertragsdatenblatt (Anlage 1) aufgelisteten Grenzwerte einzuhalten.</w:t>
      </w:r>
      <w:bookmarkStart w:id="16" w:name="Text166"/>
      <w:r>
        <w:rPr>
          <w:sz w:val="18"/>
          <w:szCs w:val="18"/>
        </w:rPr>
        <w:t xml:space="preserve"> Gibt es </w:t>
      </w:r>
      <w:bookmarkEnd w:id="16"/>
      <w:r>
        <w:rPr>
          <w:sz w:val="18"/>
          <w:szCs w:val="18"/>
        </w:rPr>
        <w:t>darüber hinausgehende Vorgaben, so können diese der Leistungsbeschreibung (Anlage 3) entnommen werden.</w:t>
      </w:r>
    </w:p>
    <w:p w:rsidR="00514D8B" w:rsidRDefault="00514D8B">
      <w:pPr>
        <w:spacing w:line="260" w:lineRule="exact"/>
        <w:ind w:left="567"/>
        <w:jc w:val="both"/>
        <w:rPr>
          <w:sz w:val="18"/>
          <w:szCs w:val="18"/>
          <w:shd w:val="clear" w:color="auto" w:fill="B3B3B3"/>
        </w:rPr>
      </w:pPr>
    </w:p>
    <w:p w:rsidR="00514D8B" w:rsidRDefault="00EE4096">
      <w:pPr>
        <w:spacing w:line="260" w:lineRule="exact"/>
        <w:jc w:val="both"/>
        <w:rPr>
          <w:b/>
          <w:color w:val="999999"/>
          <w:sz w:val="18"/>
          <w:szCs w:val="18"/>
        </w:rPr>
      </w:pPr>
      <w:r>
        <w:rPr>
          <w:b/>
          <w:color w:val="999999"/>
          <w:sz w:val="18"/>
          <w:szCs w:val="18"/>
        </w:rPr>
        <w:t>2.5.</w:t>
      </w:r>
      <w:r>
        <w:rPr>
          <w:b/>
          <w:color w:val="999999"/>
          <w:sz w:val="18"/>
          <w:szCs w:val="18"/>
        </w:rPr>
        <w:tab/>
        <w:t>Heizperiode, Versorgungspflicht außerhalb der Heizperiode</w:t>
      </w:r>
    </w:p>
    <w:p w:rsidR="00514D8B" w:rsidRDefault="00EE4096">
      <w:pPr>
        <w:spacing w:line="260" w:lineRule="exact"/>
        <w:ind w:left="567" w:firstLine="3"/>
        <w:jc w:val="both"/>
        <w:rPr>
          <w:sz w:val="18"/>
          <w:szCs w:val="18"/>
        </w:rPr>
      </w:pPr>
      <w:bookmarkStart w:id="17" w:name="_Ref158692146"/>
      <w:bookmarkStart w:id="18" w:name="_Ref159142907"/>
      <w:r>
        <w:rPr>
          <w:sz w:val="18"/>
          <w:szCs w:val="18"/>
        </w:rPr>
        <w:t>Die Wärmeversorgung für die Raumheizung erfolgt für die vereinbarte Heizperiode. Diese beginnt am 15. September eines Kalenderjahres und endet am 15. Mai des Folgejahres. Außerhalb der vereinbarten Heizperiode wird der Auftragnehmer die Wärmeversorgung für Raumheizung auf Anforderung des Au</w:t>
      </w:r>
      <w:r>
        <w:rPr>
          <w:sz w:val="18"/>
          <w:szCs w:val="18"/>
        </w:rPr>
        <w:t>f</w:t>
      </w:r>
      <w:r>
        <w:rPr>
          <w:sz w:val="18"/>
          <w:szCs w:val="18"/>
        </w:rPr>
        <w:t>traggebers unverzüglich in Betrieb nehmen</w:t>
      </w:r>
      <w:bookmarkEnd w:id="17"/>
      <w:r>
        <w:rPr>
          <w:sz w:val="18"/>
          <w:szCs w:val="18"/>
        </w:rPr>
        <w:t>.</w:t>
      </w:r>
      <w:bookmarkEnd w:id="18"/>
    </w:p>
    <w:p w:rsidR="00514D8B" w:rsidRDefault="00514D8B">
      <w:pPr>
        <w:spacing w:line="260" w:lineRule="exact"/>
        <w:ind w:left="567"/>
        <w:jc w:val="both"/>
        <w:rPr>
          <w:sz w:val="18"/>
          <w:szCs w:val="18"/>
          <w:shd w:val="clear" w:color="auto" w:fill="B3B3B3"/>
        </w:rPr>
      </w:pPr>
    </w:p>
    <w:p w:rsidR="00514D8B" w:rsidRDefault="00EE4096">
      <w:pPr>
        <w:spacing w:line="260" w:lineRule="exact"/>
        <w:jc w:val="both"/>
        <w:rPr>
          <w:b/>
          <w:color w:val="999999"/>
          <w:sz w:val="18"/>
          <w:szCs w:val="18"/>
        </w:rPr>
      </w:pPr>
      <w:r>
        <w:rPr>
          <w:b/>
          <w:color w:val="999999"/>
          <w:sz w:val="18"/>
          <w:szCs w:val="18"/>
        </w:rPr>
        <w:t>2.6.</w:t>
      </w:r>
      <w:r>
        <w:rPr>
          <w:b/>
          <w:color w:val="999999"/>
          <w:sz w:val="18"/>
          <w:szCs w:val="18"/>
        </w:rPr>
        <w:tab/>
        <w:t>Wärmeversorgung zur Trinkwarmwasserbereitung und Raumluftaufbereitung / Kälteversorgung</w:t>
      </w:r>
    </w:p>
    <w:p w:rsidR="00514D8B" w:rsidRDefault="00EE4096">
      <w:pPr>
        <w:spacing w:line="260" w:lineRule="exact"/>
        <w:ind w:left="567" w:firstLine="3"/>
        <w:jc w:val="both"/>
        <w:rPr>
          <w:sz w:val="18"/>
          <w:szCs w:val="18"/>
        </w:rPr>
      </w:pPr>
      <w:bookmarkStart w:id="19" w:name="_Ref158100255"/>
      <w:bookmarkStart w:id="20" w:name="_Ref159304331"/>
      <w:r>
        <w:rPr>
          <w:sz w:val="18"/>
          <w:szCs w:val="18"/>
        </w:rPr>
        <w:t>Die Wärmeversorgung für Trinkwarmwassererzeugung in Pumpenwarmwasser betriebenen Warmwasse</w:t>
      </w:r>
      <w:r>
        <w:rPr>
          <w:sz w:val="18"/>
          <w:szCs w:val="18"/>
        </w:rPr>
        <w:t>r</w:t>
      </w:r>
      <w:r>
        <w:rPr>
          <w:sz w:val="18"/>
          <w:szCs w:val="18"/>
        </w:rPr>
        <w:t xml:space="preserve">erzeugern und/oder Raumluftaufbereitung des Auftraggebers sowie die Kälteversorgung wird ganzjährig 24 Stunden am Tag </w:t>
      </w:r>
      <w:bookmarkEnd w:id="19"/>
      <w:r>
        <w:rPr>
          <w:sz w:val="18"/>
          <w:szCs w:val="18"/>
        </w:rPr>
        <w:t>sichergestellt.</w:t>
      </w:r>
      <w:bookmarkEnd w:id="20"/>
    </w:p>
    <w:p w:rsidR="00514D8B" w:rsidRDefault="00514D8B">
      <w:pPr>
        <w:spacing w:line="260" w:lineRule="exact"/>
        <w:ind w:left="567"/>
        <w:jc w:val="both"/>
        <w:rPr>
          <w:sz w:val="18"/>
          <w:szCs w:val="18"/>
          <w:shd w:val="clear" w:color="auto" w:fill="B3B3B3"/>
        </w:rPr>
      </w:pPr>
    </w:p>
    <w:p w:rsidR="00514D8B" w:rsidRDefault="00EE4096">
      <w:pPr>
        <w:spacing w:line="260" w:lineRule="exact"/>
        <w:jc w:val="both"/>
        <w:rPr>
          <w:b/>
          <w:color w:val="999999"/>
          <w:sz w:val="18"/>
          <w:szCs w:val="18"/>
        </w:rPr>
      </w:pPr>
      <w:r>
        <w:rPr>
          <w:b/>
          <w:color w:val="999999"/>
          <w:sz w:val="18"/>
          <w:szCs w:val="18"/>
        </w:rPr>
        <w:t>2.7.</w:t>
      </w:r>
      <w:r>
        <w:rPr>
          <w:b/>
          <w:color w:val="999999"/>
          <w:sz w:val="18"/>
          <w:szCs w:val="18"/>
        </w:rPr>
        <w:tab/>
        <w:t>Unterbrechung der Energielieferung</w:t>
      </w:r>
    </w:p>
    <w:p w:rsidR="00514D8B" w:rsidRDefault="00EE4096">
      <w:pPr>
        <w:spacing w:line="260" w:lineRule="exact"/>
        <w:ind w:left="567"/>
        <w:jc w:val="both"/>
        <w:rPr>
          <w:sz w:val="18"/>
          <w:szCs w:val="18"/>
          <w:shd w:val="clear" w:color="auto" w:fill="B3B3B3"/>
        </w:rPr>
      </w:pPr>
      <w:bookmarkStart w:id="21" w:name="_Ref442611520"/>
      <w:r>
        <w:rPr>
          <w:sz w:val="18"/>
          <w:szCs w:val="18"/>
        </w:rPr>
        <w:t>Planmäßige Versorgungsunterbrechungen wegen Instandhaltung (gemäß DIN 31051) oder Erneuerung der Anlagen des Auftragnehmers sind auf ein Minimum zu begrenzen und für die Wärmelieferung auße</w:t>
      </w:r>
      <w:r>
        <w:rPr>
          <w:sz w:val="18"/>
          <w:szCs w:val="18"/>
        </w:rPr>
        <w:t>r</w:t>
      </w:r>
      <w:r>
        <w:rPr>
          <w:sz w:val="18"/>
          <w:szCs w:val="18"/>
        </w:rPr>
        <w:t>halb der vereinbarten Heizperiode durchzuführen. Der Zeitpunkt und die Dauer der Unterbrechung sind mindestens drei Wochen vor Beginn der Arbeiten dem Auftraggeber schriftlich anzukündigen.</w:t>
      </w:r>
      <w:bookmarkEnd w:id="21"/>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outlineLvl w:val="0"/>
        <w:rPr>
          <w:b/>
          <w:color w:val="00CCFF"/>
          <w:sz w:val="18"/>
          <w:szCs w:val="18"/>
        </w:rPr>
      </w:pPr>
      <w:bookmarkStart w:id="22" w:name="_Ref522181558"/>
      <w:bookmarkStart w:id="23" w:name="_Toc150848865"/>
      <w:bookmarkStart w:id="24" w:name="_Ref159142131"/>
      <w:bookmarkStart w:id="25" w:name="_Toc189878120"/>
      <w:r>
        <w:rPr>
          <w:b/>
          <w:color w:val="00CCFF"/>
          <w:sz w:val="18"/>
          <w:szCs w:val="18"/>
        </w:rPr>
        <w:t>3.</w:t>
      </w:r>
      <w:r>
        <w:rPr>
          <w:b/>
          <w:color w:val="00CCFF"/>
          <w:sz w:val="18"/>
          <w:szCs w:val="18"/>
        </w:rPr>
        <w:tab/>
        <w:t>Rechte und Pflichten des Auftragnehmers</w:t>
      </w:r>
      <w:bookmarkEnd w:id="22"/>
      <w:bookmarkEnd w:id="23"/>
      <w:bookmarkEnd w:id="24"/>
      <w:bookmarkEnd w:id="25"/>
    </w:p>
    <w:p w:rsidR="00514D8B" w:rsidRDefault="00514D8B">
      <w:pPr>
        <w:spacing w:line="260" w:lineRule="exact"/>
        <w:ind w:left="567"/>
        <w:jc w:val="both"/>
        <w:rPr>
          <w:sz w:val="18"/>
          <w:szCs w:val="18"/>
          <w:shd w:val="clear" w:color="auto" w:fill="B3B3B3"/>
        </w:rPr>
      </w:pPr>
    </w:p>
    <w:p w:rsidR="00514D8B" w:rsidRDefault="00EE4096">
      <w:pPr>
        <w:spacing w:line="260" w:lineRule="exact"/>
        <w:jc w:val="both"/>
        <w:rPr>
          <w:b/>
          <w:color w:val="999999"/>
          <w:sz w:val="18"/>
          <w:szCs w:val="18"/>
        </w:rPr>
      </w:pPr>
      <w:r>
        <w:rPr>
          <w:b/>
          <w:color w:val="999999"/>
          <w:sz w:val="18"/>
          <w:szCs w:val="18"/>
        </w:rPr>
        <w:t>3.1.</w:t>
      </w:r>
      <w:r>
        <w:rPr>
          <w:b/>
          <w:color w:val="999999"/>
          <w:sz w:val="18"/>
          <w:szCs w:val="18"/>
        </w:rPr>
        <w:tab/>
        <w:t>Grundpflichten des Auftragnehmers</w:t>
      </w:r>
    </w:p>
    <w:p w:rsidR="00514D8B" w:rsidRDefault="00EE4096">
      <w:pPr>
        <w:spacing w:line="260" w:lineRule="exact"/>
        <w:ind w:left="567"/>
        <w:jc w:val="both"/>
        <w:rPr>
          <w:sz w:val="18"/>
          <w:szCs w:val="18"/>
        </w:rPr>
      </w:pPr>
      <w:bookmarkStart w:id="26" w:name="_Ref522181414"/>
      <w:bookmarkStart w:id="27" w:name="_Ref159143072"/>
      <w:r>
        <w:rPr>
          <w:sz w:val="18"/>
          <w:szCs w:val="18"/>
        </w:rPr>
        <w:t>Zur Versorgung der Liegenschaft ist der Auftragnehmer auf eigenes Risiko sowie eigene Kosten für nac</w:t>
      </w:r>
      <w:r>
        <w:rPr>
          <w:sz w:val="18"/>
          <w:szCs w:val="18"/>
        </w:rPr>
        <w:t>h</w:t>
      </w:r>
      <w:r>
        <w:rPr>
          <w:sz w:val="18"/>
          <w:szCs w:val="18"/>
        </w:rPr>
        <w:t>folgend genannte Aufgaben der zu errichtenden Anlage zuständig:</w:t>
      </w:r>
    </w:p>
    <w:p w:rsidR="00514D8B" w:rsidRDefault="00EE4096">
      <w:pPr>
        <w:numPr>
          <w:ilvl w:val="0"/>
          <w:numId w:val="35"/>
        </w:numPr>
        <w:spacing w:line="260" w:lineRule="exact"/>
        <w:jc w:val="both"/>
        <w:rPr>
          <w:sz w:val="18"/>
          <w:szCs w:val="18"/>
        </w:rPr>
      </w:pPr>
      <w:r>
        <w:rPr>
          <w:sz w:val="18"/>
          <w:szCs w:val="18"/>
        </w:rPr>
        <w:t>Planung</w:t>
      </w:r>
    </w:p>
    <w:p w:rsidR="00514D8B" w:rsidRDefault="00EE4096">
      <w:pPr>
        <w:numPr>
          <w:ilvl w:val="0"/>
          <w:numId w:val="35"/>
        </w:numPr>
        <w:spacing w:line="260" w:lineRule="exact"/>
        <w:jc w:val="both"/>
        <w:rPr>
          <w:sz w:val="18"/>
          <w:szCs w:val="18"/>
        </w:rPr>
      </w:pPr>
      <w:r>
        <w:rPr>
          <w:sz w:val="18"/>
          <w:szCs w:val="18"/>
        </w:rPr>
        <w:t>Finanzierung</w:t>
      </w:r>
    </w:p>
    <w:p w:rsidR="00514D8B" w:rsidRDefault="00EE4096">
      <w:pPr>
        <w:numPr>
          <w:ilvl w:val="0"/>
          <w:numId w:val="35"/>
        </w:numPr>
        <w:spacing w:line="260" w:lineRule="exact"/>
        <w:jc w:val="both"/>
        <w:rPr>
          <w:sz w:val="18"/>
          <w:szCs w:val="18"/>
        </w:rPr>
      </w:pPr>
      <w:r>
        <w:rPr>
          <w:sz w:val="18"/>
          <w:szCs w:val="18"/>
        </w:rPr>
        <w:t>Errichtung</w:t>
      </w:r>
    </w:p>
    <w:p w:rsidR="00514D8B" w:rsidRDefault="00EE4096">
      <w:pPr>
        <w:numPr>
          <w:ilvl w:val="0"/>
          <w:numId w:val="35"/>
        </w:numPr>
        <w:spacing w:line="260" w:lineRule="exact"/>
        <w:jc w:val="both"/>
        <w:rPr>
          <w:sz w:val="18"/>
          <w:szCs w:val="18"/>
        </w:rPr>
      </w:pPr>
      <w:r>
        <w:rPr>
          <w:sz w:val="18"/>
          <w:szCs w:val="18"/>
        </w:rPr>
        <w:t>Betrieb</w:t>
      </w:r>
    </w:p>
    <w:p w:rsidR="00514D8B" w:rsidRDefault="00EE4096">
      <w:pPr>
        <w:numPr>
          <w:ilvl w:val="0"/>
          <w:numId w:val="35"/>
        </w:numPr>
        <w:spacing w:line="260" w:lineRule="exact"/>
        <w:jc w:val="both"/>
        <w:rPr>
          <w:sz w:val="18"/>
          <w:szCs w:val="18"/>
        </w:rPr>
      </w:pPr>
      <w:r>
        <w:rPr>
          <w:sz w:val="18"/>
          <w:szCs w:val="18"/>
        </w:rPr>
        <w:t>Instandhaltung.</w:t>
      </w:r>
      <w:r>
        <w:rPr>
          <w:sz w:val="18"/>
          <w:szCs w:val="18"/>
        </w:rPr>
        <w:br/>
      </w:r>
    </w:p>
    <w:p w:rsidR="00514D8B" w:rsidRDefault="00EE4096">
      <w:pPr>
        <w:spacing w:line="260" w:lineRule="exact"/>
        <w:ind w:left="540"/>
        <w:jc w:val="both"/>
        <w:rPr>
          <w:sz w:val="18"/>
          <w:szCs w:val="18"/>
        </w:rPr>
      </w:pPr>
      <w:r>
        <w:rPr>
          <w:sz w:val="18"/>
          <w:szCs w:val="18"/>
        </w:rPr>
        <w:t>Die geltenden rechtlichen Anforderungen und die allgemein anerkannten Regeln der Technik sind einz</w:t>
      </w:r>
      <w:r>
        <w:rPr>
          <w:sz w:val="18"/>
          <w:szCs w:val="18"/>
        </w:rPr>
        <w:t>u</w:t>
      </w:r>
      <w:r>
        <w:rPr>
          <w:sz w:val="18"/>
          <w:szCs w:val="18"/>
        </w:rPr>
        <w:t>halten. Schadstoffemissionen sowie schall- und klimaschädigende Emissionen sind beim Betrieb weitg</w:t>
      </w:r>
      <w:r>
        <w:rPr>
          <w:sz w:val="18"/>
          <w:szCs w:val="18"/>
        </w:rPr>
        <w:t>e</w:t>
      </w:r>
      <w:r>
        <w:rPr>
          <w:sz w:val="18"/>
          <w:szCs w:val="18"/>
        </w:rPr>
        <w:t>hend zu vermeiden</w:t>
      </w:r>
      <w:bookmarkEnd w:id="26"/>
      <w:r>
        <w:rPr>
          <w:sz w:val="18"/>
          <w:szCs w:val="18"/>
        </w:rPr>
        <w:t>.</w:t>
      </w:r>
      <w:bookmarkEnd w:id="27"/>
    </w:p>
    <w:p w:rsidR="00514D8B" w:rsidRDefault="00514D8B">
      <w:pPr>
        <w:spacing w:line="260" w:lineRule="exact"/>
        <w:jc w:val="both"/>
        <w:rPr>
          <w:sz w:val="18"/>
          <w:szCs w:val="18"/>
        </w:rPr>
      </w:pPr>
    </w:p>
    <w:p w:rsidR="00514D8B" w:rsidRDefault="00514D8B">
      <w:pPr>
        <w:spacing w:line="260" w:lineRule="exact"/>
        <w:jc w:val="both"/>
        <w:rPr>
          <w:sz w:val="18"/>
          <w:szCs w:val="18"/>
        </w:rPr>
      </w:pPr>
    </w:p>
    <w:p w:rsidR="00514D8B" w:rsidRDefault="00EE4096">
      <w:pPr>
        <w:spacing w:line="260" w:lineRule="exact"/>
        <w:jc w:val="both"/>
        <w:rPr>
          <w:color w:val="999999"/>
          <w:sz w:val="18"/>
          <w:szCs w:val="18"/>
          <w:shd w:val="clear" w:color="auto" w:fill="B3B3B3"/>
        </w:rPr>
      </w:pPr>
      <w:r>
        <w:rPr>
          <w:sz w:val="18"/>
          <w:szCs w:val="18"/>
        </w:rPr>
        <w:br w:type="page"/>
      </w:r>
      <w:r>
        <w:rPr>
          <w:b/>
          <w:color w:val="999999"/>
          <w:sz w:val="18"/>
          <w:szCs w:val="18"/>
        </w:rPr>
        <w:t>3.2.</w:t>
      </w:r>
      <w:r>
        <w:rPr>
          <w:b/>
          <w:color w:val="999999"/>
          <w:sz w:val="18"/>
          <w:szCs w:val="18"/>
        </w:rPr>
        <w:tab/>
        <w:t>Emittierte CO2-Äquivalente</w:t>
      </w:r>
    </w:p>
    <w:p w:rsidR="00514D8B" w:rsidRDefault="00EE4096">
      <w:pPr>
        <w:shd w:val="clear" w:color="auto" w:fill="FFFFFF"/>
        <w:spacing w:line="260" w:lineRule="exact"/>
        <w:ind w:left="567"/>
        <w:jc w:val="both"/>
        <w:rPr>
          <w:sz w:val="18"/>
          <w:szCs w:val="18"/>
        </w:rPr>
      </w:pPr>
      <w:r>
        <w:rPr>
          <w:sz w:val="18"/>
          <w:szCs w:val="18"/>
        </w:rPr>
        <w:t>Der Auftragnehmer wird den im Vertragsdatenblatt (Anlage 1) benannten spezifischen Emissionswert an CO2-Äquivalente mit einer zulässigen Mehrung von 10 %</w:t>
      </w:r>
      <w:r>
        <w:rPr>
          <w:sz w:val="18"/>
          <w:szCs w:val="18"/>
          <w:vertAlign w:val="superscript"/>
        </w:rPr>
        <w:t xml:space="preserve"> </w:t>
      </w:r>
      <w:r>
        <w:rPr>
          <w:sz w:val="18"/>
          <w:szCs w:val="18"/>
        </w:rPr>
        <w:t>nicht überschreiten. Zum Nachweis werden bei jeder Jahresrechnung benannte Emissionswerte, versehen mit den tatsächlich verbrauchten Mengen, be</w:t>
      </w:r>
      <w:r>
        <w:rPr>
          <w:sz w:val="18"/>
          <w:szCs w:val="18"/>
        </w:rPr>
        <w:t>i</w:t>
      </w:r>
      <w:r>
        <w:rPr>
          <w:sz w:val="18"/>
          <w:szCs w:val="18"/>
        </w:rPr>
        <w:t>gefügt. Auf Verlangen des Auftraggebers wird der Auftragnehmer die tatsächlich verbrauchten Mengen und die daraus resultierenden Emissionen an CO2-Äquivalenten nachvollziehbar darstellen, z.B. über Li</w:t>
      </w:r>
      <w:r>
        <w:rPr>
          <w:sz w:val="18"/>
          <w:szCs w:val="18"/>
        </w:rPr>
        <w:t>e</w:t>
      </w:r>
      <w:r>
        <w:rPr>
          <w:sz w:val="18"/>
          <w:szCs w:val="18"/>
        </w:rPr>
        <w:t>ferscheine und/oder Rechnungen von Vorlieferanten. Am Ort der Energieerzeugung zum Berechnung</w:t>
      </w:r>
      <w:r>
        <w:rPr>
          <w:sz w:val="18"/>
          <w:szCs w:val="18"/>
        </w:rPr>
        <w:t>s</w:t>
      </w:r>
      <w:r>
        <w:rPr>
          <w:sz w:val="18"/>
          <w:szCs w:val="18"/>
        </w:rPr>
        <w:t>zeitpunkt eingelagerte Vorratsmengen werden aufgemessen und gegen gerechnet. Überschreitet der in einem Abrechnungsjahr ermittelte spezifische Wert der emittierten CO2-Äquivalente den zulässigen Wert um mehr als die in dieser Ziffer definierte zulässige Überschreitung, so ist die vereinbarte Vertragsstrafe zu entrichten. Unterschreitungen von zulässigen Emissionen an CO2-Äquivalenten werden nicht vergütet.</w:t>
      </w:r>
    </w:p>
    <w:p w:rsidR="00514D8B" w:rsidRDefault="00514D8B">
      <w:pPr>
        <w:spacing w:line="260" w:lineRule="exact"/>
        <w:ind w:left="567"/>
        <w:jc w:val="both"/>
        <w:rPr>
          <w:sz w:val="18"/>
          <w:szCs w:val="18"/>
          <w:shd w:val="clear" w:color="auto" w:fill="B3B3B3"/>
        </w:rPr>
      </w:pPr>
    </w:p>
    <w:p w:rsidR="00514D8B" w:rsidRDefault="00EE4096">
      <w:pPr>
        <w:spacing w:line="260" w:lineRule="exact"/>
        <w:jc w:val="both"/>
        <w:rPr>
          <w:b/>
          <w:color w:val="999999"/>
          <w:sz w:val="18"/>
          <w:szCs w:val="18"/>
        </w:rPr>
      </w:pPr>
      <w:r>
        <w:rPr>
          <w:b/>
          <w:color w:val="999999"/>
          <w:sz w:val="18"/>
          <w:szCs w:val="18"/>
        </w:rPr>
        <w:t>3.3.</w:t>
      </w:r>
      <w:r>
        <w:rPr>
          <w:b/>
          <w:color w:val="999999"/>
          <w:sz w:val="18"/>
          <w:szCs w:val="18"/>
        </w:rPr>
        <w:tab/>
        <w:t>Überwachung- und Instandhaltungspflichten des Auftragnehmers</w:t>
      </w:r>
    </w:p>
    <w:p w:rsidR="00514D8B" w:rsidRDefault="00EE4096">
      <w:pPr>
        <w:spacing w:line="260" w:lineRule="exact"/>
        <w:ind w:left="567"/>
        <w:jc w:val="both"/>
        <w:rPr>
          <w:sz w:val="18"/>
          <w:szCs w:val="18"/>
        </w:rPr>
      </w:pPr>
      <w:r>
        <w:rPr>
          <w:sz w:val="18"/>
          <w:szCs w:val="18"/>
        </w:rPr>
        <w:t>Der Auftragnehmer hat für die laufende Überwachung der von ihm betriebenen Anlage sowie für die or</w:t>
      </w:r>
      <w:r>
        <w:rPr>
          <w:sz w:val="18"/>
          <w:szCs w:val="18"/>
        </w:rPr>
        <w:t>d</w:t>
      </w:r>
      <w:r>
        <w:rPr>
          <w:sz w:val="18"/>
          <w:szCs w:val="18"/>
        </w:rPr>
        <w:t>nungsgemäße Erhaltung und Instandhaltung und die vertragsgemäße Verfügbarkeit der Anlage für die g</w:t>
      </w:r>
      <w:r>
        <w:rPr>
          <w:sz w:val="18"/>
          <w:szCs w:val="18"/>
        </w:rPr>
        <w:t>e</w:t>
      </w:r>
      <w:r>
        <w:rPr>
          <w:sz w:val="18"/>
          <w:szCs w:val="18"/>
        </w:rPr>
        <w:t>samte Dauer des Vertrages zu sorgen. Instandhaltungsarbeiten (Inspektion, Wartung, Instandsetzung und Verbesserung), sowie Ersatzinvestitionen gehen zu seinen Lasten.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3.4.</w:t>
      </w:r>
      <w:r>
        <w:rPr>
          <w:b/>
          <w:color w:val="999999"/>
          <w:sz w:val="18"/>
          <w:szCs w:val="18"/>
        </w:rPr>
        <w:tab/>
        <w:t>Errichten der Anlage und der Messeinrichtungen</w:t>
      </w:r>
    </w:p>
    <w:p w:rsidR="00514D8B" w:rsidRDefault="00EE4096">
      <w:pPr>
        <w:spacing w:line="260" w:lineRule="exact"/>
        <w:ind w:left="567" w:firstLine="3"/>
        <w:jc w:val="both"/>
        <w:rPr>
          <w:sz w:val="18"/>
          <w:szCs w:val="18"/>
        </w:rPr>
      </w:pPr>
      <w:bookmarkStart w:id="28" w:name="_Ref158100112"/>
      <w:r>
        <w:rPr>
          <w:sz w:val="18"/>
          <w:szCs w:val="18"/>
        </w:rPr>
        <w:t>Die Parteien vereinbaren, dass die Anlage und die Messeinrichtungen des Auftragnehmers entsprechend den technischen und baulichen Festlegungen zu diesem Vertrag errichtet werden.</w:t>
      </w:r>
      <w:bookmarkEnd w:id="28"/>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3.5.</w:t>
      </w:r>
      <w:r>
        <w:rPr>
          <w:b/>
          <w:color w:val="999999"/>
          <w:sz w:val="18"/>
          <w:szCs w:val="18"/>
        </w:rPr>
        <w:tab/>
        <w:t>Wärme-/Kältemengenzähler</w:t>
      </w:r>
    </w:p>
    <w:p w:rsidR="00514D8B" w:rsidRDefault="00EE4096">
      <w:pPr>
        <w:spacing w:line="260" w:lineRule="exact"/>
        <w:ind w:left="567"/>
        <w:jc w:val="both"/>
        <w:rPr>
          <w:sz w:val="18"/>
          <w:szCs w:val="18"/>
        </w:rPr>
      </w:pPr>
      <w:bookmarkStart w:id="29" w:name="_Ref158100140"/>
      <w:r>
        <w:rPr>
          <w:sz w:val="18"/>
          <w:szCs w:val="18"/>
        </w:rPr>
        <w:t>Die an den Auftraggeber gelieferte Energie wird durch geeichte Wärme-/Kältemengenzähler mit Möglic</w:t>
      </w:r>
      <w:r>
        <w:rPr>
          <w:sz w:val="18"/>
          <w:szCs w:val="18"/>
        </w:rPr>
        <w:t>h</w:t>
      </w:r>
      <w:r>
        <w:rPr>
          <w:sz w:val="18"/>
          <w:szCs w:val="18"/>
        </w:rPr>
        <w:t xml:space="preserve">keit zur Fernauslesung und Datenaufzeichnung (Abrechnungszähler) an der vereinbarten Übergabestelle durch den Auftragnehmer festgestellt und dem Auftraggeber in elektronischer Form übermittelt. </w:t>
      </w:r>
      <w:bookmarkEnd w:id="29"/>
      <w:r>
        <w:rPr>
          <w:sz w:val="18"/>
          <w:szCs w:val="18"/>
        </w:rPr>
        <w:t>Details zur Datenstruktur und -format können der Ziffer "Jahresabrechnung" entnommen werden.</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3.6.</w:t>
      </w:r>
      <w:r>
        <w:rPr>
          <w:b/>
          <w:color w:val="999999"/>
          <w:sz w:val="18"/>
          <w:szCs w:val="18"/>
        </w:rPr>
        <w:tab/>
        <w:t>Verweis auf Leistungsbeschreibung</w:t>
      </w:r>
    </w:p>
    <w:p w:rsidR="00514D8B" w:rsidRDefault="00EE4096">
      <w:pPr>
        <w:spacing w:line="260" w:lineRule="exact"/>
        <w:ind w:left="567" w:firstLine="3"/>
        <w:jc w:val="both"/>
        <w:rPr>
          <w:sz w:val="18"/>
          <w:szCs w:val="18"/>
        </w:rPr>
      </w:pPr>
      <w:bookmarkStart w:id="30" w:name="_Ref248125634"/>
      <w:r>
        <w:rPr>
          <w:sz w:val="18"/>
          <w:szCs w:val="18"/>
        </w:rPr>
        <w:t>Die weiteren Anforderungen an die Errichtung und den Betrieb ergeben sich aus der Leistungsbeschre</w:t>
      </w:r>
      <w:r>
        <w:rPr>
          <w:sz w:val="18"/>
          <w:szCs w:val="18"/>
        </w:rPr>
        <w:t>i</w:t>
      </w:r>
      <w:r>
        <w:rPr>
          <w:sz w:val="18"/>
          <w:szCs w:val="18"/>
        </w:rPr>
        <w:t>bung (</w:t>
      </w:r>
      <w:bookmarkEnd w:id="30"/>
      <w:r>
        <w:rPr>
          <w:sz w:val="18"/>
          <w:szCs w:val="18"/>
        </w:rPr>
        <w:t>Anlage 3).</w:t>
      </w:r>
    </w:p>
    <w:p w:rsidR="00514D8B" w:rsidRDefault="00514D8B">
      <w:pPr>
        <w:spacing w:line="260" w:lineRule="exact"/>
        <w:ind w:left="567" w:firstLine="3"/>
        <w:jc w:val="both"/>
        <w:rPr>
          <w:sz w:val="18"/>
          <w:szCs w:val="18"/>
        </w:rPr>
      </w:pPr>
    </w:p>
    <w:p w:rsidR="00514D8B" w:rsidRDefault="00EE4096">
      <w:pPr>
        <w:spacing w:line="260" w:lineRule="exact"/>
        <w:jc w:val="both"/>
        <w:rPr>
          <w:b/>
          <w:color w:val="999999"/>
          <w:sz w:val="18"/>
          <w:szCs w:val="18"/>
        </w:rPr>
      </w:pPr>
      <w:r>
        <w:rPr>
          <w:b/>
          <w:color w:val="999999"/>
          <w:sz w:val="18"/>
          <w:szCs w:val="18"/>
        </w:rPr>
        <w:t>3.7.</w:t>
      </w:r>
      <w:r>
        <w:rPr>
          <w:b/>
          <w:color w:val="999999"/>
          <w:sz w:val="18"/>
          <w:szCs w:val="18"/>
        </w:rPr>
        <w:tab/>
        <w:t>Übergabestelle</w:t>
      </w:r>
    </w:p>
    <w:p w:rsidR="00514D8B" w:rsidRDefault="00EE4096">
      <w:pPr>
        <w:spacing w:line="260" w:lineRule="exact"/>
        <w:ind w:left="567" w:firstLine="3"/>
        <w:jc w:val="both"/>
        <w:rPr>
          <w:sz w:val="18"/>
          <w:szCs w:val="18"/>
        </w:rPr>
      </w:pPr>
      <w:r>
        <w:rPr>
          <w:sz w:val="18"/>
          <w:szCs w:val="18"/>
        </w:rPr>
        <w:t>Die Übergabestelle trennt den Verantwortungsbereich des Auftragnehmers für die Anlage von dem Ve</w:t>
      </w:r>
      <w:r>
        <w:rPr>
          <w:sz w:val="18"/>
          <w:szCs w:val="18"/>
        </w:rPr>
        <w:t>r</w:t>
      </w:r>
      <w:r>
        <w:rPr>
          <w:sz w:val="18"/>
          <w:szCs w:val="18"/>
        </w:rPr>
        <w:t>antwortungsbereich des Auftraggebers und stellt die Eigentumsgrenze dar. Die Festlegung der Übergab</w:t>
      </w:r>
      <w:r>
        <w:rPr>
          <w:sz w:val="18"/>
          <w:szCs w:val="18"/>
        </w:rPr>
        <w:t>e</w:t>
      </w:r>
      <w:r>
        <w:rPr>
          <w:sz w:val="18"/>
          <w:szCs w:val="18"/>
        </w:rPr>
        <w:t>stelle ist in der Leistungsbeschreibung (Anlage 3) geregelt. Dem Auftraggeber ist es gestattet, in Absti</w:t>
      </w:r>
      <w:r>
        <w:rPr>
          <w:sz w:val="18"/>
          <w:szCs w:val="18"/>
        </w:rPr>
        <w:t>m</w:t>
      </w:r>
      <w:r>
        <w:rPr>
          <w:sz w:val="18"/>
          <w:szCs w:val="18"/>
        </w:rPr>
        <w:t>mung mit dem Auftragnehmer die Armaturen während Instandhaltungsarbeiten an der Energieverteilung</w:t>
      </w:r>
      <w:r>
        <w:rPr>
          <w:sz w:val="18"/>
          <w:szCs w:val="18"/>
        </w:rPr>
        <w:t>s</w:t>
      </w:r>
      <w:r>
        <w:rPr>
          <w:sz w:val="18"/>
          <w:szCs w:val="18"/>
        </w:rPr>
        <w:t>anlage abzusperren. Die Außerbetriebsetzung von Pumpen oder anderen aktiven Elementen der Anlage wird auf Anforderung des Auftraggebers vom Auftragnehmer veranlasst. Die dem Auftragnehmer hieraus entstehenden Kosten trägt der Auftraggeber.</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3.8.</w:t>
      </w:r>
      <w:r>
        <w:rPr>
          <w:b/>
          <w:color w:val="999999"/>
          <w:sz w:val="18"/>
          <w:szCs w:val="18"/>
        </w:rPr>
        <w:tab/>
        <w:t>Übertragung von Vertragspflichten auf Dritte</w:t>
      </w:r>
    </w:p>
    <w:p w:rsidR="00514D8B" w:rsidRDefault="00EE4096">
      <w:pPr>
        <w:spacing w:line="260" w:lineRule="exact"/>
        <w:ind w:left="567"/>
        <w:jc w:val="both"/>
        <w:rPr>
          <w:sz w:val="18"/>
          <w:szCs w:val="18"/>
        </w:rPr>
      </w:pPr>
      <w:r>
        <w:rPr>
          <w:sz w:val="18"/>
          <w:szCs w:val="18"/>
        </w:rPr>
        <w:t>Der Auftragnehmer ist berechtigt, mit vorheriger Zustimmung des Auftraggebers Dritte mit der Erfüllung der in diesem Vertrag übernommenen Verpflichtungen zu beauftragen. Die Zustimmung ist zu erteilen, wenn und soweit diese dafür geeignet, leistungsfähig und zuverlässig sind.</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3.9.</w:t>
      </w:r>
      <w:r>
        <w:rPr>
          <w:b/>
          <w:color w:val="999999"/>
          <w:sz w:val="18"/>
          <w:szCs w:val="18"/>
        </w:rPr>
        <w:tab/>
        <w:t>Vertragserfüllungsbürgschaft</w:t>
      </w:r>
    </w:p>
    <w:p w:rsidR="00514D8B" w:rsidRDefault="00EE4096">
      <w:pPr>
        <w:spacing w:line="260" w:lineRule="exact"/>
        <w:ind w:left="567" w:firstLine="3"/>
        <w:jc w:val="both"/>
        <w:rPr>
          <w:sz w:val="18"/>
          <w:szCs w:val="18"/>
        </w:rPr>
      </w:pPr>
      <w:r>
        <w:rPr>
          <w:sz w:val="18"/>
          <w:szCs w:val="18"/>
        </w:rPr>
        <w:t>Der Auftragnehmer übergibt dem Auftraggeber innerhalb von 14 Tagen nach Abschluss dieses Vertrages eine unbefristete, unwiderrufliche, selbstschuldnerische Bürgschaft nach deutschem Recht einer Gro</w:t>
      </w:r>
      <w:r>
        <w:rPr>
          <w:sz w:val="18"/>
          <w:szCs w:val="18"/>
        </w:rPr>
        <w:t>ß</w:t>
      </w:r>
      <w:r>
        <w:rPr>
          <w:sz w:val="18"/>
          <w:szCs w:val="18"/>
        </w:rPr>
        <w:t>bank oder Versicherung gemäß der im Formblatt „Besondere Vertragsbedingungen“ festgelegten Höhe zur Absicherung sämtlicher Verpflichtungen des Auftragnehmers nach diesem Vertrag. Als Auftragssu</w:t>
      </w:r>
      <w:r>
        <w:rPr>
          <w:sz w:val="18"/>
          <w:szCs w:val="18"/>
        </w:rPr>
        <w:t>m</w:t>
      </w:r>
      <w:r>
        <w:rPr>
          <w:sz w:val="18"/>
          <w:szCs w:val="18"/>
        </w:rPr>
        <w:t>me im Sinne des oben angeführten Formblattes gilt das Produkt aus Grundpreis und Versorgungslaufzeit. In der Bürgschaftsurkunde muss auf die Rechte aus den § 770 und § 771 BGB sowie auf das Recht der Hinterlegung verzichtet werden. Die Kosten für die Bürgschaft hat der Auftragnehmer zu tragen. Falls die vereinbarten Betriebsparameter eingehalten werden, ist die Bürgschaftsurkunde nach einem vollständigen Abrechnungsjahr nach Beginn der Versorgung an den Auftragnehmer zurückzugeben.</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outlineLvl w:val="0"/>
        <w:rPr>
          <w:sz w:val="18"/>
          <w:szCs w:val="18"/>
        </w:rPr>
      </w:pPr>
      <w:bookmarkStart w:id="31" w:name="_Ref248124581"/>
      <w:r>
        <w:rPr>
          <w:b/>
          <w:color w:val="00CCFF"/>
          <w:sz w:val="18"/>
          <w:szCs w:val="18"/>
        </w:rPr>
        <w:t>4.</w:t>
      </w:r>
      <w:r>
        <w:rPr>
          <w:b/>
          <w:color w:val="00CCFF"/>
          <w:sz w:val="18"/>
          <w:szCs w:val="18"/>
        </w:rPr>
        <w:tab/>
        <w:t>Ergänzende Regelungen für die Energieerzeugung vor Ort auf überlassenen Nutzungsflächen</w:t>
      </w:r>
      <w:bookmarkEnd w:id="31"/>
    </w:p>
    <w:p w:rsidR="00514D8B" w:rsidRDefault="00EE4096">
      <w:pPr>
        <w:spacing w:line="260" w:lineRule="exact"/>
        <w:jc w:val="both"/>
        <w:outlineLvl w:val="0"/>
        <w:rPr>
          <w:b/>
          <w:color w:val="00CCFF"/>
          <w:sz w:val="18"/>
          <w:szCs w:val="18"/>
        </w:rPr>
      </w:pPr>
      <w:r>
        <w:rPr>
          <w:b/>
          <w:color w:val="00CCFF"/>
          <w:sz w:val="18"/>
          <w:szCs w:val="18"/>
        </w:rPr>
        <w:tab/>
        <w:t>(gilt nicht, wenn die Versorgung ausschließlich aus einem Fernwärmenetz erfolgt)</w:t>
      </w:r>
    </w:p>
    <w:p w:rsidR="00514D8B" w:rsidRDefault="00514D8B">
      <w:pPr>
        <w:spacing w:line="260" w:lineRule="exact"/>
        <w:ind w:left="540"/>
        <w:jc w:val="both"/>
        <w:outlineLvl w:val="0"/>
        <w:rPr>
          <w:sz w:val="18"/>
          <w:szCs w:val="18"/>
        </w:rPr>
      </w:pPr>
    </w:p>
    <w:p w:rsidR="00514D8B" w:rsidRDefault="00EE4096">
      <w:pPr>
        <w:spacing w:line="260" w:lineRule="exact"/>
        <w:jc w:val="both"/>
        <w:rPr>
          <w:b/>
          <w:color w:val="999999"/>
          <w:sz w:val="18"/>
          <w:szCs w:val="18"/>
        </w:rPr>
      </w:pPr>
      <w:r>
        <w:rPr>
          <w:b/>
          <w:color w:val="999999"/>
          <w:sz w:val="18"/>
          <w:szCs w:val="18"/>
        </w:rPr>
        <w:t>4.1.</w:t>
      </w:r>
      <w:r>
        <w:rPr>
          <w:b/>
          <w:color w:val="999999"/>
          <w:sz w:val="18"/>
          <w:szCs w:val="18"/>
        </w:rPr>
        <w:tab/>
        <w:t>Pachtvertragliche Regelungen</w:t>
      </w:r>
    </w:p>
    <w:p w:rsidR="00514D8B" w:rsidRDefault="00514D8B">
      <w:pPr>
        <w:spacing w:line="260" w:lineRule="exact"/>
        <w:ind w:left="540"/>
        <w:jc w:val="both"/>
        <w:rPr>
          <w:b/>
          <w:color w:val="999999"/>
          <w:sz w:val="18"/>
          <w:szCs w:val="18"/>
        </w:rPr>
      </w:pPr>
    </w:p>
    <w:p w:rsidR="00514D8B" w:rsidRDefault="00EE4096">
      <w:pPr>
        <w:spacing w:line="260" w:lineRule="exact"/>
        <w:jc w:val="both"/>
        <w:rPr>
          <w:b/>
          <w:color w:val="999999"/>
          <w:sz w:val="18"/>
          <w:szCs w:val="18"/>
        </w:rPr>
      </w:pPr>
      <w:r>
        <w:rPr>
          <w:b/>
          <w:color w:val="999999"/>
          <w:sz w:val="18"/>
          <w:szCs w:val="18"/>
        </w:rPr>
        <w:t>4.1.1.</w:t>
      </w:r>
      <w:r>
        <w:rPr>
          <w:b/>
          <w:color w:val="999999"/>
          <w:sz w:val="18"/>
          <w:szCs w:val="18"/>
        </w:rPr>
        <w:tab/>
        <w:t>Nutzungsflächen</w:t>
      </w:r>
    </w:p>
    <w:p w:rsidR="00514D8B" w:rsidRDefault="00EE4096">
      <w:pPr>
        <w:spacing w:line="260" w:lineRule="exact"/>
        <w:ind w:left="567"/>
        <w:jc w:val="both"/>
        <w:rPr>
          <w:sz w:val="18"/>
          <w:szCs w:val="18"/>
        </w:rPr>
      </w:pPr>
      <w:bookmarkStart w:id="32" w:name="_Ref161191003"/>
      <w:bookmarkStart w:id="33" w:name="_Ref248125283"/>
      <w:r>
        <w:rPr>
          <w:sz w:val="18"/>
          <w:szCs w:val="18"/>
        </w:rPr>
        <w:t xml:space="preserve">Der Auftragnehmer errichtet und betreibt die </w:t>
      </w:r>
      <w:bookmarkEnd w:id="32"/>
      <w:r>
        <w:rPr>
          <w:sz w:val="18"/>
          <w:szCs w:val="18"/>
        </w:rPr>
        <w:t>Anlage auf einer Fläche gemäß Vertragsdatenblatt (Anlage 1), nachfolgend als Nutzungsfläche bezeichnet.</w:t>
      </w:r>
    </w:p>
    <w:bookmarkEnd w:id="33"/>
    <w:p w:rsidR="00514D8B" w:rsidRDefault="00514D8B">
      <w:pPr>
        <w:spacing w:line="260" w:lineRule="exact"/>
        <w:ind w:left="540"/>
        <w:jc w:val="both"/>
        <w:rPr>
          <w:sz w:val="18"/>
          <w:szCs w:val="18"/>
        </w:rPr>
      </w:pPr>
    </w:p>
    <w:p w:rsidR="00514D8B" w:rsidRDefault="00EE4096">
      <w:pPr>
        <w:spacing w:line="260" w:lineRule="exact"/>
        <w:ind w:left="567"/>
        <w:jc w:val="both"/>
        <w:rPr>
          <w:sz w:val="18"/>
          <w:szCs w:val="18"/>
        </w:rPr>
      </w:pPr>
      <w:r>
        <w:rPr>
          <w:sz w:val="18"/>
          <w:szCs w:val="18"/>
        </w:rPr>
        <w:t>Der Auftraggeber überlässt die Nutzungsfläche dem Auftragnehmer im Rahmen eines Pachtverhältnisses ab Inkrafttreten des Vertrags. Dieses Pachtverhältnis endet stets mit dem übrigen Energieliefervertrag; unerheblich ist dabei, ob der Energieliefervertrag durch Zeitablauf oder durch Kündigung beendet wird.</w:t>
      </w:r>
    </w:p>
    <w:p w:rsidR="00514D8B" w:rsidRDefault="00514D8B">
      <w:pPr>
        <w:spacing w:line="260" w:lineRule="exact"/>
        <w:ind w:left="540"/>
        <w:jc w:val="both"/>
        <w:rPr>
          <w:sz w:val="18"/>
          <w:szCs w:val="18"/>
        </w:rPr>
      </w:pPr>
    </w:p>
    <w:p w:rsidR="00514D8B" w:rsidRDefault="00EE4096">
      <w:pPr>
        <w:spacing w:line="260" w:lineRule="exact"/>
        <w:ind w:left="567"/>
        <w:jc w:val="both"/>
        <w:rPr>
          <w:sz w:val="18"/>
          <w:szCs w:val="18"/>
        </w:rPr>
      </w:pPr>
      <w:r>
        <w:rPr>
          <w:sz w:val="18"/>
          <w:szCs w:val="18"/>
        </w:rPr>
        <w:t>Die Überlassung der Nutzungsfläche erfolgt gegen ein jährliches Nutzungsentgelt gemäß Vertragsdate</w:t>
      </w:r>
      <w:r>
        <w:rPr>
          <w:sz w:val="18"/>
          <w:szCs w:val="18"/>
        </w:rPr>
        <w:t>n</w:t>
      </w:r>
      <w:r>
        <w:rPr>
          <w:sz w:val="18"/>
          <w:szCs w:val="18"/>
        </w:rPr>
        <w:t>blatt (Anlage 1). Das Nutzungsentgelt wird im Voraus am 01. Januar eines jeden Jahres fällig, erstmalig jedoch mit Vertragsschluss pro rata temporis.</w:t>
      </w:r>
    </w:p>
    <w:p w:rsidR="00514D8B" w:rsidRDefault="00514D8B">
      <w:pPr>
        <w:spacing w:line="260" w:lineRule="exact"/>
        <w:ind w:left="567"/>
        <w:jc w:val="both"/>
        <w:rPr>
          <w:sz w:val="18"/>
          <w:szCs w:val="18"/>
        </w:rPr>
      </w:pPr>
    </w:p>
    <w:p w:rsidR="00514D8B" w:rsidRDefault="00EE4096">
      <w:pPr>
        <w:spacing w:line="260" w:lineRule="exact"/>
        <w:ind w:left="567"/>
        <w:jc w:val="both"/>
        <w:rPr>
          <w:sz w:val="18"/>
          <w:szCs w:val="18"/>
        </w:rPr>
      </w:pPr>
      <w:r>
        <w:rPr>
          <w:sz w:val="18"/>
          <w:szCs w:val="18"/>
        </w:rPr>
        <w:t>Der Auftraggeber hat das Recht, alle zehn Jahre – gerechnet ab dem Tag der Versorgung – eine Anpa</w:t>
      </w:r>
      <w:r>
        <w:rPr>
          <w:sz w:val="18"/>
          <w:szCs w:val="18"/>
        </w:rPr>
        <w:t>s</w:t>
      </w:r>
      <w:r>
        <w:rPr>
          <w:sz w:val="18"/>
          <w:szCs w:val="18"/>
        </w:rPr>
        <w:t>sung des Nutzungsentgelts zu verlangen. Basis für die Anpassung ist der vom Statistischen Bundesamt für die gesamte Bundesrepublik Deutschland festgestellte Verbraucherpreisindex, der Abteilung 4 „Wo</w:t>
      </w:r>
      <w:r>
        <w:rPr>
          <w:sz w:val="18"/>
          <w:szCs w:val="18"/>
        </w:rPr>
        <w:t>h</w:t>
      </w:r>
      <w:r>
        <w:rPr>
          <w:sz w:val="18"/>
          <w:szCs w:val="18"/>
        </w:rPr>
        <w:t>nung, Wasser, Strom, Gas und andere Brennstoffe“ auf der Basis Jahr 2010 = 100%, gegenüber dem Stand des Monats des Beginns des Pachtverhältnisses für die Nutzungsfläche. Die Pacht ändert sich im selben %-Satz wie der vorbenannte Verbraucherpreisindex. Der Anspruch auf Erhöhung ist innerhalb von drei Jahren vom Auftraggeber geltend zu machen.</w:t>
      </w:r>
    </w:p>
    <w:p w:rsidR="00514D8B" w:rsidRDefault="00514D8B">
      <w:pPr>
        <w:spacing w:line="260" w:lineRule="exact"/>
        <w:ind w:left="567"/>
        <w:jc w:val="both"/>
        <w:rPr>
          <w:sz w:val="18"/>
          <w:szCs w:val="18"/>
        </w:rPr>
      </w:pPr>
    </w:p>
    <w:p w:rsidR="00514D8B" w:rsidRDefault="00EE4096">
      <w:pPr>
        <w:spacing w:line="260" w:lineRule="exact"/>
        <w:ind w:left="567"/>
        <w:jc w:val="both"/>
        <w:rPr>
          <w:rFonts w:cs="Arial"/>
          <w:sz w:val="18"/>
          <w:szCs w:val="18"/>
        </w:rPr>
      </w:pPr>
      <w:r>
        <w:rPr>
          <w:sz w:val="18"/>
          <w:szCs w:val="18"/>
        </w:rPr>
        <w:t>Die Kosten der geometrischen Wegmessung der Nutzungsflächen trägt der Auftragnehmer.</w:t>
      </w:r>
    </w:p>
    <w:p w:rsidR="00514D8B" w:rsidRDefault="00514D8B">
      <w:pPr>
        <w:spacing w:line="260" w:lineRule="exact"/>
        <w:ind w:left="540"/>
        <w:jc w:val="both"/>
        <w:rPr>
          <w:sz w:val="18"/>
          <w:szCs w:val="18"/>
        </w:rPr>
      </w:pPr>
    </w:p>
    <w:p w:rsidR="00514D8B" w:rsidRDefault="00EE4096">
      <w:pPr>
        <w:spacing w:line="260" w:lineRule="exact"/>
        <w:ind w:left="567"/>
        <w:jc w:val="both"/>
        <w:rPr>
          <w:rFonts w:cs="Arial"/>
          <w:sz w:val="18"/>
          <w:szCs w:val="18"/>
        </w:rPr>
      </w:pPr>
      <w:r>
        <w:rPr>
          <w:rFonts w:cs="Arial"/>
          <w:sz w:val="18"/>
          <w:szCs w:val="18"/>
        </w:rPr>
        <w:t xml:space="preserve">Die vom Auftragnehmer errichteten Anlagen werden nur zu einem vorübergehenden Zweck für die Dauer dieses Vertrages mit der Nutzungsfläche des Auftraggebers verbunden. </w:t>
      </w:r>
    </w:p>
    <w:p w:rsidR="00514D8B" w:rsidRDefault="00514D8B">
      <w:pPr>
        <w:spacing w:line="260" w:lineRule="exact"/>
        <w:ind w:left="567"/>
        <w:jc w:val="both"/>
        <w:rPr>
          <w:rFonts w:cs="Arial"/>
          <w:sz w:val="18"/>
          <w:szCs w:val="18"/>
        </w:rPr>
      </w:pPr>
    </w:p>
    <w:p w:rsidR="00514D8B" w:rsidRDefault="00EE4096">
      <w:pPr>
        <w:keepNext/>
        <w:keepLines/>
        <w:spacing w:line="260" w:lineRule="exact"/>
        <w:ind w:left="567"/>
        <w:jc w:val="both"/>
        <w:rPr>
          <w:sz w:val="18"/>
          <w:szCs w:val="18"/>
        </w:rPr>
      </w:pPr>
      <w:r>
        <w:rPr>
          <w:rFonts w:cs="Arial"/>
          <w:sz w:val="18"/>
          <w:szCs w:val="18"/>
        </w:rPr>
        <w:t>Die Anlagen des Auftragnehmers sind kein Bestandteil des Grundstücks (§ 95 BGB) und gehören nicht zum Eigentum des Auftraggebers. Soweit aufgrund zwingenden Sachenrechts der Auftraggeber Eigent</w:t>
      </w:r>
      <w:r>
        <w:rPr>
          <w:rFonts w:cs="Arial"/>
          <w:sz w:val="18"/>
          <w:szCs w:val="18"/>
        </w:rPr>
        <w:t>ü</w:t>
      </w:r>
      <w:r>
        <w:rPr>
          <w:rFonts w:cs="Arial"/>
          <w:sz w:val="18"/>
          <w:szCs w:val="18"/>
        </w:rPr>
        <w:t xml:space="preserve">mer der Anlage ist oder wird, ist die Anlage als selbständiges bewegliches Wirtschaftsgut des </w:t>
      </w:r>
      <w:r>
        <w:rPr>
          <w:sz w:val="18"/>
          <w:szCs w:val="18"/>
        </w:rPr>
        <w:t>Auftra</w:t>
      </w:r>
      <w:r>
        <w:rPr>
          <w:sz w:val="18"/>
          <w:szCs w:val="18"/>
        </w:rPr>
        <w:t>g</w:t>
      </w:r>
      <w:r>
        <w:rPr>
          <w:sz w:val="18"/>
          <w:szCs w:val="18"/>
        </w:rPr>
        <w:t>nehmers im steuer- und bewertungsrechtlichen Sinne zu behandeln. Die Eintragung einer Dienstbarkeit ist daher nicht erforderlich.</w:t>
      </w:r>
    </w:p>
    <w:p w:rsidR="00514D8B" w:rsidRDefault="00514D8B">
      <w:pPr>
        <w:keepNext/>
        <w:keepLines/>
        <w:spacing w:line="260" w:lineRule="exact"/>
        <w:ind w:left="567"/>
        <w:jc w:val="both"/>
        <w:rPr>
          <w:sz w:val="18"/>
          <w:szCs w:val="18"/>
        </w:rPr>
      </w:pPr>
    </w:p>
    <w:p w:rsidR="00514D8B" w:rsidRDefault="00EE4096">
      <w:pPr>
        <w:keepNext/>
        <w:keepLines/>
        <w:spacing w:line="260" w:lineRule="exact"/>
        <w:ind w:left="567"/>
        <w:jc w:val="both"/>
        <w:rPr>
          <w:rFonts w:cs="Arial"/>
          <w:sz w:val="18"/>
          <w:szCs w:val="18"/>
        </w:rPr>
      </w:pPr>
      <w:r>
        <w:rPr>
          <w:rFonts w:cs="Arial"/>
          <w:sz w:val="18"/>
          <w:szCs w:val="18"/>
        </w:rPr>
        <w:t>Der Auftragnehmer ist verpflichtet, die Anlage gegen Eingriffe von Dritten zu schützen.</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4.1.2.</w:t>
      </w:r>
      <w:r>
        <w:rPr>
          <w:b/>
          <w:color w:val="999999"/>
          <w:sz w:val="18"/>
          <w:szCs w:val="18"/>
        </w:rPr>
        <w:tab/>
        <w:t>Gestattungen an zusätzlichen Nutzungsflächen des Auftraggebers</w:t>
      </w:r>
    </w:p>
    <w:p w:rsidR="00514D8B" w:rsidRDefault="00EE4096">
      <w:pPr>
        <w:spacing w:line="260" w:lineRule="exact"/>
        <w:ind w:left="567" w:firstLine="3"/>
        <w:jc w:val="both"/>
        <w:rPr>
          <w:rFonts w:cs="Arial"/>
          <w:sz w:val="18"/>
          <w:szCs w:val="18"/>
        </w:rPr>
      </w:pPr>
      <w:bookmarkStart w:id="34" w:name="_Ref248125270"/>
      <w:r>
        <w:rPr>
          <w:rFonts w:cs="Arial"/>
          <w:sz w:val="18"/>
          <w:szCs w:val="18"/>
        </w:rPr>
        <w:t xml:space="preserve">Für die Errichtung, den </w:t>
      </w:r>
      <w:r>
        <w:rPr>
          <w:sz w:val="18"/>
          <w:szCs w:val="18"/>
        </w:rPr>
        <w:t>Betrieb</w:t>
      </w:r>
      <w:r>
        <w:rPr>
          <w:rFonts w:cs="Arial"/>
          <w:sz w:val="18"/>
          <w:szCs w:val="18"/>
        </w:rPr>
        <w:t xml:space="preserve"> und die Instandhaltung der außerhalb der Nutzungsfläche liegenden Teile der Anlage ist dem Auftragnehmer die Nutzung der Grundstücke des Auftraggebers (zusätzliche Nu</w:t>
      </w:r>
      <w:r>
        <w:rPr>
          <w:rFonts w:cs="Arial"/>
          <w:sz w:val="18"/>
          <w:szCs w:val="18"/>
        </w:rPr>
        <w:t>t</w:t>
      </w:r>
      <w:r>
        <w:rPr>
          <w:rFonts w:cs="Arial"/>
          <w:sz w:val="18"/>
          <w:szCs w:val="18"/>
        </w:rPr>
        <w:t>zungsflächen) gestattet, soweit es für die Erfüllung der Aufgaben des Auftragnehmers nach diesem Ve</w:t>
      </w:r>
      <w:r>
        <w:rPr>
          <w:rFonts w:cs="Arial"/>
          <w:sz w:val="18"/>
          <w:szCs w:val="18"/>
        </w:rPr>
        <w:t>r</w:t>
      </w:r>
      <w:r>
        <w:rPr>
          <w:rFonts w:cs="Arial"/>
          <w:sz w:val="18"/>
          <w:szCs w:val="18"/>
        </w:rPr>
        <w:t>trag erforderlich ist. Der Auftragnehmer ist insbesondere berechtigt, alle mit der Errichtung, der Verlegung, dem Betrieb, der Überwachung, der Instandhaltung oder der Änderung der Anlage einschließlich ihrer Le</w:t>
      </w:r>
      <w:r>
        <w:rPr>
          <w:rFonts w:cs="Arial"/>
          <w:sz w:val="18"/>
          <w:szCs w:val="18"/>
        </w:rPr>
        <w:t>i</w:t>
      </w:r>
      <w:r>
        <w:rPr>
          <w:rFonts w:cs="Arial"/>
          <w:sz w:val="18"/>
          <w:szCs w:val="18"/>
        </w:rPr>
        <w:t>tungen und Nebenanlagen zusammenhängenden Arbeiten dort auszuführen oder ausführen zu lassen. Die in diesem Zusammenhang vom Auftragnehmer beabsichtigten Baumaßnahmen bedürfen der vorher</w:t>
      </w:r>
      <w:r>
        <w:rPr>
          <w:rFonts w:cs="Arial"/>
          <w:sz w:val="18"/>
          <w:szCs w:val="18"/>
        </w:rPr>
        <w:t>i</w:t>
      </w:r>
      <w:r>
        <w:rPr>
          <w:rFonts w:cs="Arial"/>
          <w:sz w:val="18"/>
          <w:szCs w:val="18"/>
        </w:rPr>
        <w:t>gen Zustimmung des Auftraggebers, die nur bei Unzumutbarkeit der Maßnahmen verweigert werden darf.</w:t>
      </w:r>
      <w:bookmarkEnd w:id="34"/>
    </w:p>
    <w:p w:rsidR="00514D8B" w:rsidRDefault="00514D8B">
      <w:pPr>
        <w:spacing w:line="260" w:lineRule="exact"/>
        <w:ind w:left="540"/>
        <w:jc w:val="both"/>
        <w:rPr>
          <w:rFonts w:cs="Arial"/>
          <w:sz w:val="18"/>
          <w:szCs w:val="18"/>
        </w:rPr>
      </w:pPr>
    </w:p>
    <w:p w:rsidR="00514D8B" w:rsidRDefault="00EE4096">
      <w:pPr>
        <w:spacing w:line="260" w:lineRule="exact"/>
        <w:ind w:left="567"/>
        <w:jc w:val="both"/>
        <w:rPr>
          <w:sz w:val="18"/>
          <w:szCs w:val="18"/>
        </w:rPr>
      </w:pPr>
      <w:r>
        <w:rPr>
          <w:rFonts w:cs="Arial"/>
          <w:sz w:val="18"/>
          <w:szCs w:val="18"/>
        </w:rPr>
        <w:t xml:space="preserve">Die Nutzung </w:t>
      </w:r>
      <w:r>
        <w:rPr>
          <w:sz w:val="18"/>
          <w:szCs w:val="18"/>
        </w:rPr>
        <w:t>der</w:t>
      </w:r>
      <w:r>
        <w:rPr>
          <w:rFonts w:cs="Arial"/>
          <w:sz w:val="18"/>
          <w:szCs w:val="18"/>
        </w:rPr>
        <w:t xml:space="preserve"> zusätzlichen Nutzungsflächen ist mit dem Nutzungsentgelt abgegolten. Nach der Durc</w:t>
      </w:r>
      <w:r>
        <w:rPr>
          <w:rFonts w:cs="Arial"/>
          <w:sz w:val="18"/>
          <w:szCs w:val="18"/>
        </w:rPr>
        <w:t>h</w:t>
      </w:r>
      <w:r>
        <w:rPr>
          <w:rFonts w:cs="Arial"/>
          <w:sz w:val="18"/>
          <w:szCs w:val="18"/>
        </w:rPr>
        <w:t>führung der Arbeiten ist der ursprüngliche Zustand aller Nutzungsflächen wiederherzustellen.</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4.1.3.</w:t>
      </w:r>
      <w:r>
        <w:rPr>
          <w:b/>
          <w:color w:val="999999"/>
          <w:sz w:val="18"/>
          <w:szCs w:val="18"/>
        </w:rPr>
        <w:tab/>
        <w:t>Lasten und Pflichten an Nutzungsflächen</w:t>
      </w:r>
    </w:p>
    <w:p w:rsidR="00514D8B" w:rsidRDefault="00EE4096">
      <w:pPr>
        <w:spacing w:line="260" w:lineRule="exact"/>
        <w:ind w:left="567"/>
        <w:jc w:val="both"/>
        <w:rPr>
          <w:sz w:val="18"/>
          <w:szCs w:val="18"/>
        </w:rPr>
      </w:pPr>
      <w:bookmarkStart w:id="35" w:name="_Ref248125347"/>
      <w:r>
        <w:rPr>
          <w:sz w:val="18"/>
          <w:szCs w:val="18"/>
        </w:rPr>
        <w:t>Der Auftragnehmer hat alle auf die Nutzungsflächen entsprechend entfallenden einmaligen und wiede</w:t>
      </w:r>
      <w:r>
        <w:rPr>
          <w:sz w:val="18"/>
          <w:szCs w:val="18"/>
        </w:rPr>
        <w:t>r</w:t>
      </w:r>
      <w:r>
        <w:rPr>
          <w:sz w:val="18"/>
          <w:szCs w:val="18"/>
        </w:rPr>
        <w:t>kehrenden Lasten, Abgaben und Pflichten, die den Grundstückseigentümer als solchen betreffen, für die Vertragslaufzeit zu tragen bzw. dem Auftraggeber zu erstatten;</w:t>
      </w:r>
      <w:r>
        <w:rPr>
          <w:rFonts w:cs="Arial"/>
          <w:sz w:val="18"/>
          <w:szCs w:val="18"/>
        </w:rPr>
        <w:t xml:space="preserve"> dies umfasst alle erforderlichen Anschlü</w:t>
      </w:r>
      <w:r>
        <w:rPr>
          <w:rFonts w:cs="Arial"/>
          <w:sz w:val="18"/>
          <w:szCs w:val="18"/>
        </w:rPr>
        <w:t>s</w:t>
      </w:r>
      <w:r>
        <w:rPr>
          <w:rFonts w:cs="Arial"/>
          <w:sz w:val="18"/>
          <w:szCs w:val="18"/>
        </w:rPr>
        <w:t>se (Brennstoff, Wasser, Abwasser, Telekommunikation, Betriebsstrom etc.), Mess- und Verrechnungsko</w:t>
      </w:r>
      <w:r>
        <w:rPr>
          <w:rFonts w:cs="Arial"/>
          <w:sz w:val="18"/>
          <w:szCs w:val="18"/>
        </w:rPr>
        <w:t>s</w:t>
      </w:r>
      <w:r>
        <w:rPr>
          <w:rFonts w:cs="Arial"/>
          <w:sz w:val="18"/>
          <w:szCs w:val="18"/>
        </w:rPr>
        <w:t>ten, Instandhaltungskosten sowie die aus der Nutzung der o. g. Anschlüsse sich ergebenden Verbrauch</w:t>
      </w:r>
      <w:r>
        <w:rPr>
          <w:rFonts w:cs="Arial"/>
          <w:sz w:val="18"/>
          <w:szCs w:val="18"/>
        </w:rPr>
        <w:t>s</w:t>
      </w:r>
      <w:r>
        <w:rPr>
          <w:rFonts w:cs="Arial"/>
          <w:sz w:val="18"/>
          <w:szCs w:val="18"/>
        </w:rPr>
        <w:t>kosten.</w:t>
      </w:r>
      <w:bookmarkEnd w:id="35"/>
      <w:r>
        <w:rPr>
          <w:rFonts w:cs="Arial"/>
          <w:sz w:val="18"/>
          <w:szCs w:val="18"/>
        </w:rPr>
        <w:t xml:space="preserve"> Insbesondere übernimmt der Auftragnehmer die Verkehrssicherungspflichten für die Nutzungsfl</w:t>
      </w:r>
      <w:r>
        <w:rPr>
          <w:rFonts w:cs="Arial"/>
          <w:sz w:val="18"/>
          <w:szCs w:val="18"/>
        </w:rPr>
        <w:t>ä</w:t>
      </w:r>
      <w:r>
        <w:rPr>
          <w:rFonts w:cs="Arial"/>
          <w:sz w:val="18"/>
          <w:szCs w:val="18"/>
        </w:rPr>
        <w:t>chen.</w:t>
      </w:r>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4.2</w:t>
      </w:r>
      <w:r>
        <w:rPr>
          <w:b/>
          <w:color w:val="999999"/>
          <w:sz w:val="18"/>
          <w:szCs w:val="18"/>
        </w:rPr>
        <w:tab/>
        <w:t xml:space="preserve">Anlagensteuerung vor Ort </w:t>
      </w:r>
    </w:p>
    <w:p w:rsidR="00514D8B" w:rsidRDefault="00EE4096">
      <w:pPr>
        <w:spacing w:line="260" w:lineRule="exact"/>
        <w:ind w:left="567"/>
        <w:jc w:val="both"/>
        <w:rPr>
          <w:sz w:val="18"/>
          <w:szCs w:val="18"/>
        </w:rPr>
      </w:pPr>
      <w:r>
        <w:rPr>
          <w:sz w:val="18"/>
          <w:szCs w:val="18"/>
        </w:rPr>
        <w:t>Die Anlage ist so zu errichten, dass eine vollständige, uneingeschränkte Steuerung vor Ort technisch mö</w:t>
      </w:r>
      <w:r>
        <w:rPr>
          <w:sz w:val="18"/>
          <w:szCs w:val="18"/>
        </w:rPr>
        <w:t>g</w:t>
      </w:r>
      <w:r>
        <w:rPr>
          <w:sz w:val="18"/>
          <w:szCs w:val="18"/>
        </w:rPr>
        <w:t>lich ist.</w:t>
      </w:r>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4.3.</w:t>
      </w:r>
      <w:r>
        <w:rPr>
          <w:b/>
          <w:color w:val="999999"/>
          <w:sz w:val="18"/>
          <w:szCs w:val="18"/>
        </w:rPr>
        <w:tab/>
        <w:t>Energielieferung an Dritte</w:t>
      </w:r>
    </w:p>
    <w:p w:rsidR="00514D8B" w:rsidRDefault="00EE4096">
      <w:pPr>
        <w:spacing w:line="260" w:lineRule="exact"/>
        <w:ind w:left="567"/>
        <w:jc w:val="both"/>
        <w:rPr>
          <w:sz w:val="18"/>
          <w:szCs w:val="18"/>
        </w:rPr>
      </w:pPr>
      <w:r>
        <w:rPr>
          <w:sz w:val="18"/>
          <w:szCs w:val="18"/>
        </w:rPr>
        <w:t>Eine Energielieferung aus der Anlage an Andere, außer dem Auftraggeber, ist nicht zugelassen.</w:t>
      </w:r>
    </w:p>
    <w:p w:rsidR="00514D8B" w:rsidRDefault="00514D8B">
      <w:pPr>
        <w:spacing w:line="260" w:lineRule="exact"/>
        <w:ind w:left="567" w:firstLine="3"/>
        <w:jc w:val="both"/>
        <w:rPr>
          <w:spacing w:val="-2"/>
          <w:sz w:val="18"/>
          <w:szCs w:val="18"/>
        </w:rPr>
      </w:pPr>
    </w:p>
    <w:p w:rsidR="00514D8B" w:rsidRDefault="00EE4096">
      <w:pPr>
        <w:spacing w:line="260" w:lineRule="exact"/>
        <w:jc w:val="both"/>
        <w:rPr>
          <w:b/>
          <w:color w:val="999999"/>
          <w:sz w:val="18"/>
          <w:szCs w:val="18"/>
        </w:rPr>
      </w:pPr>
      <w:r>
        <w:rPr>
          <w:b/>
          <w:color w:val="999999"/>
          <w:sz w:val="18"/>
          <w:szCs w:val="18"/>
        </w:rPr>
        <w:t>4.4.</w:t>
      </w:r>
      <w:r>
        <w:rPr>
          <w:b/>
          <w:color w:val="999999"/>
          <w:sz w:val="18"/>
          <w:szCs w:val="18"/>
        </w:rPr>
        <w:tab/>
      </w:r>
      <w:bookmarkStart w:id="36" w:name="_Ref248125511"/>
      <w:r>
        <w:rPr>
          <w:b/>
          <w:color w:val="999999"/>
          <w:sz w:val="18"/>
          <w:szCs w:val="18"/>
        </w:rPr>
        <w:t>Beendigung des Vertragsverhältnisses</w:t>
      </w:r>
      <w:bookmarkEnd w:id="36"/>
    </w:p>
    <w:p w:rsidR="00514D8B" w:rsidRDefault="00514D8B">
      <w:pPr>
        <w:spacing w:line="260" w:lineRule="exact"/>
        <w:ind w:left="567" w:firstLine="3"/>
        <w:jc w:val="both"/>
        <w:rPr>
          <w:spacing w:val="-2"/>
          <w:sz w:val="18"/>
          <w:szCs w:val="18"/>
        </w:rPr>
      </w:pPr>
    </w:p>
    <w:p w:rsidR="00514D8B" w:rsidRDefault="00EE4096">
      <w:pPr>
        <w:spacing w:line="260" w:lineRule="exact"/>
        <w:jc w:val="both"/>
        <w:rPr>
          <w:b/>
          <w:color w:val="999999"/>
          <w:sz w:val="18"/>
          <w:szCs w:val="18"/>
        </w:rPr>
      </w:pPr>
      <w:r>
        <w:rPr>
          <w:b/>
          <w:color w:val="999999"/>
          <w:sz w:val="18"/>
          <w:szCs w:val="18"/>
        </w:rPr>
        <w:t>4.4.1.</w:t>
      </w:r>
      <w:r>
        <w:rPr>
          <w:b/>
          <w:color w:val="999999"/>
          <w:sz w:val="18"/>
          <w:szCs w:val="18"/>
        </w:rPr>
        <w:tab/>
        <w:t>Übernahme der Anlage</w:t>
      </w:r>
    </w:p>
    <w:p w:rsidR="00514D8B" w:rsidRDefault="00EE4096">
      <w:pPr>
        <w:spacing w:line="260" w:lineRule="exact"/>
        <w:ind w:left="567"/>
        <w:jc w:val="both"/>
        <w:rPr>
          <w:b/>
          <w:color w:val="999999"/>
          <w:sz w:val="18"/>
          <w:szCs w:val="18"/>
        </w:rPr>
      </w:pPr>
      <w:bookmarkStart w:id="37" w:name="_Ref248125449"/>
      <w:r>
        <w:rPr>
          <w:rFonts w:cs="Arial"/>
          <w:sz w:val="18"/>
          <w:szCs w:val="18"/>
        </w:rPr>
        <w:t xml:space="preserve">Wird der Vertrag vor Ablauf gekündigt, hat der Auftraggeber das Recht, die vom </w:t>
      </w:r>
      <w:r>
        <w:rPr>
          <w:sz w:val="18"/>
          <w:szCs w:val="18"/>
        </w:rPr>
        <w:t>Auftragnehmer</w:t>
      </w:r>
      <w:r>
        <w:rPr>
          <w:rFonts w:cs="Arial"/>
          <w:sz w:val="18"/>
          <w:szCs w:val="18"/>
        </w:rPr>
        <w:t xml:space="preserve"> errichteten Anlagen zu übernehmen. Umfasst hiervon sind sämtliche Anlagen und/oder Anlagenteile, die für </w:t>
      </w:r>
      <w:r>
        <w:rPr>
          <w:sz w:val="18"/>
          <w:szCs w:val="18"/>
        </w:rPr>
        <w:t>einen</w:t>
      </w:r>
      <w:r>
        <w:rPr>
          <w:rFonts w:cs="Arial"/>
          <w:sz w:val="18"/>
          <w:szCs w:val="18"/>
        </w:rPr>
        <w:t xml:space="preserve"> ordnungsgemäßen Weiterbetrieb der Anlagen </w:t>
      </w:r>
      <w:r>
        <w:rPr>
          <w:sz w:val="18"/>
          <w:szCs w:val="18"/>
        </w:rPr>
        <w:t>erforderlich</w:t>
      </w:r>
      <w:r>
        <w:rPr>
          <w:rFonts w:cs="Arial"/>
          <w:sz w:val="18"/>
          <w:szCs w:val="18"/>
        </w:rPr>
        <w:t xml:space="preserve"> sind. Im Gegenzug hierfür hat der Auftraggeber an den Auftragnehmer eine einmalige vertraglich geregelte Zahlung als Entschädigung zu leisten.</w:t>
      </w:r>
      <w:bookmarkEnd w:id="37"/>
    </w:p>
    <w:p w:rsidR="00514D8B" w:rsidRDefault="00514D8B">
      <w:pPr>
        <w:spacing w:line="260" w:lineRule="exact"/>
        <w:ind w:left="567" w:firstLine="3"/>
        <w:jc w:val="both"/>
        <w:rPr>
          <w:spacing w:val="-2"/>
          <w:sz w:val="18"/>
          <w:szCs w:val="18"/>
        </w:rPr>
      </w:pPr>
    </w:p>
    <w:p w:rsidR="00514D8B" w:rsidRDefault="00EE4096">
      <w:pPr>
        <w:spacing w:line="260" w:lineRule="exact"/>
        <w:jc w:val="both"/>
        <w:rPr>
          <w:b/>
          <w:color w:val="999999"/>
          <w:sz w:val="18"/>
          <w:szCs w:val="18"/>
        </w:rPr>
      </w:pPr>
      <w:r>
        <w:rPr>
          <w:b/>
          <w:color w:val="999999"/>
          <w:sz w:val="18"/>
          <w:szCs w:val="18"/>
        </w:rPr>
        <w:t>4.4.2.</w:t>
      </w:r>
      <w:r>
        <w:rPr>
          <w:b/>
          <w:color w:val="999999"/>
          <w:sz w:val="18"/>
          <w:szCs w:val="18"/>
        </w:rPr>
        <w:tab/>
        <w:t>Übergabe der Anlage</w:t>
      </w:r>
    </w:p>
    <w:p w:rsidR="00514D8B" w:rsidRDefault="00EE4096">
      <w:pPr>
        <w:spacing w:line="260" w:lineRule="exact"/>
        <w:ind w:left="567"/>
        <w:jc w:val="both"/>
        <w:rPr>
          <w:sz w:val="18"/>
          <w:szCs w:val="18"/>
        </w:rPr>
      </w:pPr>
      <w:r>
        <w:rPr>
          <w:rFonts w:cs="Arial"/>
          <w:sz w:val="18"/>
          <w:szCs w:val="18"/>
        </w:rPr>
        <w:t xml:space="preserve">Übernimmt der Auftraggeber die vom </w:t>
      </w:r>
      <w:r>
        <w:rPr>
          <w:sz w:val="18"/>
          <w:szCs w:val="18"/>
        </w:rPr>
        <w:t>Auftragnehmer</w:t>
      </w:r>
      <w:r>
        <w:rPr>
          <w:rFonts w:cs="Arial"/>
          <w:sz w:val="18"/>
          <w:szCs w:val="18"/>
        </w:rPr>
        <w:t xml:space="preserve"> errichteten Anlagen, ist der Auftragnehmer </w:t>
      </w:r>
      <w:r>
        <w:rPr>
          <w:sz w:val="18"/>
          <w:szCs w:val="18"/>
        </w:rPr>
        <w:t>verpflic</w:t>
      </w:r>
      <w:r>
        <w:rPr>
          <w:sz w:val="18"/>
          <w:szCs w:val="18"/>
        </w:rPr>
        <w:t>h</w:t>
      </w:r>
      <w:r>
        <w:rPr>
          <w:sz w:val="18"/>
          <w:szCs w:val="18"/>
        </w:rPr>
        <w:t>tet</w:t>
      </w:r>
      <w:r>
        <w:rPr>
          <w:rFonts w:cs="Arial"/>
          <w:sz w:val="18"/>
          <w:szCs w:val="18"/>
        </w:rPr>
        <w:t>, dem Auftraggeber die Anlagen binnen 28</w:t>
      </w:r>
      <w:r>
        <w:rPr>
          <w:sz w:val="18"/>
          <w:szCs w:val="18"/>
        </w:rPr>
        <w:t xml:space="preserve"> </w:t>
      </w:r>
      <w:r>
        <w:rPr>
          <w:rFonts w:cs="Arial"/>
          <w:sz w:val="18"/>
          <w:szCs w:val="18"/>
        </w:rPr>
        <w:t xml:space="preserve">Kalendertagen im betriebsbereiten Zustand zu übergeben. Betriebsbereitschaft setzt neben der Funktionsfähigkeit der Anlage voraus, dass sie sich in einem Zustand befindet, welcher der Betriebsdauer einer </w:t>
      </w:r>
      <w:r>
        <w:rPr>
          <w:sz w:val="18"/>
          <w:szCs w:val="18"/>
        </w:rPr>
        <w:t>ordnungsgemäß</w:t>
      </w:r>
      <w:r>
        <w:rPr>
          <w:rFonts w:cs="Arial"/>
          <w:sz w:val="18"/>
          <w:szCs w:val="18"/>
        </w:rPr>
        <w:t xml:space="preserve"> errichteten, betriebenen und instand gehalt</w:t>
      </w:r>
      <w:r>
        <w:rPr>
          <w:rFonts w:cs="Arial"/>
          <w:sz w:val="18"/>
          <w:szCs w:val="18"/>
        </w:rPr>
        <w:t>e</w:t>
      </w:r>
      <w:r>
        <w:rPr>
          <w:rFonts w:cs="Arial"/>
          <w:sz w:val="18"/>
          <w:szCs w:val="18"/>
        </w:rPr>
        <w:t>nen Anlage üblicherweise entspricht. Die Betriebsbereitschaft hat der Auftragnehmer bei Übergabe der Anlage durch Prüfprotokolle eines unabhängigen Gutachters nachzuweisen.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4.4.3.</w:t>
      </w:r>
      <w:r>
        <w:rPr>
          <w:b/>
          <w:color w:val="999999"/>
          <w:sz w:val="18"/>
          <w:szCs w:val="18"/>
        </w:rPr>
        <w:tab/>
        <w:t>Entschädigungsregelung bei Anlagenübernahme</w:t>
      </w:r>
    </w:p>
    <w:p w:rsidR="00514D8B" w:rsidRDefault="00EE4096">
      <w:pPr>
        <w:spacing w:line="260" w:lineRule="exact"/>
        <w:ind w:left="567"/>
        <w:jc w:val="both"/>
        <w:rPr>
          <w:rFonts w:cs="Arial"/>
          <w:sz w:val="18"/>
          <w:szCs w:val="18"/>
        </w:rPr>
      </w:pPr>
      <w:bookmarkStart w:id="38" w:name="_Ref248125427"/>
      <w:r>
        <w:rPr>
          <w:rFonts w:cs="Arial"/>
          <w:sz w:val="18"/>
          <w:szCs w:val="18"/>
        </w:rPr>
        <w:t>Die Höhe der geregelten Entschädigung bemisst sich nach dem Verkehrswert der Anlage zum Zeitpunkt ihrer Übergabe, höchstens jedoch dem Restbuchwert der Anlage zum Zeitpunkt ihrer Übergabe an den Auftraggeber. Als Restbuchwert gelten die wirtschaftlich angemessenen Anschaffungs- und Herstellung</w:t>
      </w:r>
      <w:r>
        <w:rPr>
          <w:rFonts w:cs="Arial"/>
          <w:sz w:val="18"/>
          <w:szCs w:val="18"/>
        </w:rPr>
        <w:t>s</w:t>
      </w:r>
      <w:r>
        <w:rPr>
          <w:rFonts w:cs="Arial"/>
          <w:sz w:val="18"/>
          <w:szCs w:val="18"/>
        </w:rPr>
        <w:t xml:space="preserve">kosten einschließlich </w:t>
      </w:r>
      <w:r>
        <w:rPr>
          <w:sz w:val="18"/>
          <w:szCs w:val="18"/>
        </w:rPr>
        <w:t>nachträglicher</w:t>
      </w:r>
      <w:r>
        <w:rPr>
          <w:rFonts w:cs="Arial"/>
          <w:sz w:val="18"/>
          <w:szCs w:val="18"/>
        </w:rPr>
        <w:t xml:space="preserve"> Anschaffungs- und Herstellungskosten sowie der Planungskosten nach der HOAI. Der hieraus resultierende Betrag wird vermindert um lineare planmäßige und um auße</w:t>
      </w:r>
      <w:r>
        <w:rPr>
          <w:rFonts w:cs="Arial"/>
          <w:sz w:val="18"/>
          <w:szCs w:val="18"/>
        </w:rPr>
        <w:t>r</w:t>
      </w:r>
      <w:r>
        <w:rPr>
          <w:rFonts w:cs="Arial"/>
          <w:sz w:val="18"/>
          <w:szCs w:val="18"/>
        </w:rPr>
        <w:t>planmäßige Abschreibungen wegen dauernder Wertminderungen. Die planmäßigen Abschreibungen sind so zu bemessen, dass sie die gesamten Anschaffungs- und Herstellungskosten auf die erstmalig verei</w:t>
      </w:r>
      <w:r>
        <w:rPr>
          <w:rFonts w:cs="Arial"/>
          <w:sz w:val="18"/>
          <w:szCs w:val="18"/>
        </w:rPr>
        <w:t>n</w:t>
      </w:r>
      <w:r>
        <w:rPr>
          <w:rFonts w:cs="Arial"/>
          <w:sz w:val="18"/>
          <w:szCs w:val="18"/>
        </w:rPr>
        <w:t>barte Laufzeit des Vertrages gleichmäßig verteilen.</w:t>
      </w:r>
      <w:bookmarkEnd w:id="38"/>
    </w:p>
    <w:p w:rsidR="00514D8B" w:rsidRDefault="00514D8B">
      <w:pPr>
        <w:spacing w:line="260" w:lineRule="exact"/>
        <w:ind w:left="567"/>
        <w:jc w:val="both"/>
        <w:rPr>
          <w:spacing w:val="-2"/>
          <w:sz w:val="18"/>
          <w:szCs w:val="18"/>
        </w:rPr>
      </w:pPr>
    </w:p>
    <w:p w:rsidR="00514D8B" w:rsidRDefault="00EE4096">
      <w:pPr>
        <w:spacing w:line="260" w:lineRule="exact"/>
        <w:ind w:left="567"/>
        <w:jc w:val="both"/>
        <w:rPr>
          <w:rFonts w:cs="Arial"/>
          <w:sz w:val="18"/>
          <w:szCs w:val="18"/>
        </w:rPr>
      </w:pPr>
      <w:r>
        <w:rPr>
          <w:rFonts w:cs="Arial"/>
          <w:sz w:val="18"/>
          <w:szCs w:val="18"/>
        </w:rPr>
        <w:t xml:space="preserve">Der Verkehrswert der Anlage ist anhand eines nach der </w:t>
      </w:r>
      <w:r>
        <w:rPr>
          <w:sz w:val="18"/>
          <w:szCs w:val="18"/>
        </w:rPr>
        <w:t xml:space="preserve">Immobilienwertermittlungsverordnung </w:t>
      </w:r>
      <w:r>
        <w:rPr>
          <w:rFonts w:cs="Arial"/>
          <w:sz w:val="18"/>
          <w:szCs w:val="18"/>
        </w:rPr>
        <w:t>zu erste</w:t>
      </w:r>
      <w:r>
        <w:rPr>
          <w:rFonts w:cs="Arial"/>
          <w:sz w:val="18"/>
          <w:szCs w:val="18"/>
        </w:rPr>
        <w:t>l</w:t>
      </w:r>
      <w:r>
        <w:rPr>
          <w:rFonts w:cs="Arial"/>
          <w:sz w:val="18"/>
          <w:szCs w:val="18"/>
        </w:rPr>
        <w:t>lenden Gutachtens festzustellen.</w:t>
      </w:r>
    </w:p>
    <w:p w:rsidR="00514D8B" w:rsidRDefault="00514D8B">
      <w:pPr>
        <w:spacing w:line="260" w:lineRule="exact"/>
        <w:ind w:left="567"/>
        <w:jc w:val="both"/>
        <w:rPr>
          <w:rFonts w:cs="Arial"/>
          <w:sz w:val="18"/>
          <w:szCs w:val="18"/>
        </w:rPr>
      </w:pPr>
    </w:p>
    <w:p w:rsidR="00514D8B" w:rsidRDefault="00EE4096">
      <w:pPr>
        <w:spacing w:line="260" w:lineRule="exact"/>
        <w:ind w:left="567"/>
        <w:jc w:val="both"/>
        <w:rPr>
          <w:rFonts w:cs="Arial"/>
          <w:sz w:val="18"/>
          <w:szCs w:val="18"/>
        </w:rPr>
      </w:pPr>
      <w:r>
        <w:rPr>
          <w:rFonts w:cs="Arial"/>
          <w:sz w:val="18"/>
          <w:szCs w:val="18"/>
        </w:rPr>
        <w:t xml:space="preserve">Befindet sich </w:t>
      </w:r>
      <w:r>
        <w:rPr>
          <w:sz w:val="18"/>
          <w:szCs w:val="18"/>
        </w:rPr>
        <w:t>die</w:t>
      </w:r>
      <w:r>
        <w:rPr>
          <w:rFonts w:cs="Arial"/>
          <w:sz w:val="18"/>
          <w:szCs w:val="18"/>
        </w:rPr>
        <w:t xml:space="preserve"> Anlage bei Übergabe durch den Auftragnehmer nicht im betriebsbereiten Zustand, kann der Auftraggeber die unverzügliche Entfernung der Anlage auf Kosten des Auftragnehmers verlangen.</w:t>
      </w:r>
    </w:p>
    <w:p w:rsidR="00514D8B" w:rsidRDefault="00514D8B">
      <w:pPr>
        <w:spacing w:line="260" w:lineRule="exact"/>
        <w:ind w:left="567"/>
        <w:jc w:val="both"/>
        <w:rPr>
          <w:sz w:val="18"/>
          <w:szCs w:val="18"/>
        </w:rPr>
      </w:pPr>
    </w:p>
    <w:p w:rsidR="00514D8B" w:rsidRDefault="00EE4096">
      <w:pPr>
        <w:keepNext/>
        <w:spacing w:line="260" w:lineRule="exact"/>
        <w:jc w:val="both"/>
        <w:rPr>
          <w:b/>
          <w:color w:val="999999"/>
          <w:sz w:val="18"/>
          <w:szCs w:val="18"/>
        </w:rPr>
      </w:pPr>
      <w:r>
        <w:rPr>
          <w:b/>
          <w:color w:val="999999"/>
          <w:sz w:val="18"/>
          <w:szCs w:val="18"/>
        </w:rPr>
        <w:t>4.4.4.</w:t>
      </w:r>
      <w:r>
        <w:rPr>
          <w:b/>
          <w:color w:val="999999"/>
          <w:sz w:val="18"/>
          <w:szCs w:val="18"/>
        </w:rPr>
        <w:tab/>
        <w:t>Bodengutachten</w:t>
      </w:r>
    </w:p>
    <w:p w:rsidR="00514D8B" w:rsidRDefault="00EE4096">
      <w:pPr>
        <w:keepNext/>
        <w:spacing w:line="260" w:lineRule="exact"/>
        <w:ind w:left="567"/>
        <w:jc w:val="both"/>
        <w:rPr>
          <w:sz w:val="18"/>
          <w:szCs w:val="18"/>
        </w:rPr>
      </w:pPr>
      <w:r>
        <w:rPr>
          <w:sz w:val="18"/>
          <w:szCs w:val="18"/>
        </w:rPr>
        <w:t>Der Auftragnehmer hat innerhalb von drei Wochen nach Ablauf des Energieliefervertrages durch ein B</w:t>
      </w:r>
      <w:r>
        <w:rPr>
          <w:sz w:val="18"/>
          <w:szCs w:val="18"/>
        </w:rPr>
        <w:t>o</w:t>
      </w:r>
      <w:r>
        <w:rPr>
          <w:sz w:val="18"/>
          <w:szCs w:val="18"/>
        </w:rPr>
        <w:t>dengutachten eines unabhängigen Gutachters auf eigene Kosten die Bodenqualität des vormals zur Ve</w:t>
      </w:r>
      <w:r>
        <w:rPr>
          <w:sz w:val="18"/>
          <w:szCs w:val="18"/>
        </w:rPr>
        <w:t>r</w:t>
      </w:r>
      <w:r>
        <w:rPr>
          <w:sz w:val="18"/>
          <w:szCs w:val="18"/>
        </w:rPr>
        <w:t xml:space="preserve">tragserfüllung überlassenen Grundstücks </w:t>
      </w:r>
      <w:r>
        <w:rPr>
          <w:rFonts w:cs="Arial"/>
          <w:sz w:val="18"/>
          <w:szCs w:val="18"/>
        </w:rPr>
        <w:t>untersuchen</w:t>
      </w:r>
      <w:r>
        <w:rPr>
          <w:sz w:val="18"/>
          <w:szCs w:val="18"/>
        </w:rPr>
        <w:t xml:space="preserve"> zu lassen. Sollte sich diese gegenüber dem Z</w:t>
      </w:r>
      <w:r>
        <w:rPr>
          <w:sz w:val="18"/>
          <w:szCs w:val="18"/>
        </w:rPr>
        <w:t>u</w:t>
      </w:r>
      <w:r>
        <w:rPr>
          <w:sz w:val="18"/>
          <w:szCs w:val="18"/>
        </w:rPr>
        <w:t>stand bei Baubeginn nachteilig verändert haben, ist der Auftragnehmer zur Beseitigung der Belastungen des Bodens verpflichtet.</w:t>
      </w:r>
    </w:p>
    <w:p w:rsidR="00514D8B" w:rsidRDefault="00EE4096">
      <w:pPr>
        <w:spacing w:line="260" w:lineRule="exact"/>
        <w:ind w:left="567"/>
        <w:jc w:val="both"/>
        <w:rPr>
          <w:sz w:val="18"/>
          <w:szCs w:val="18"/>
        </w:rPr>
      </w:pPr>
      <w:r>
        <w:rPr>
          <w:sz w:val="18"/>
          <w:szCs w:val="18"/>
        </w:rPr>
        <w:t>Die Bodenqualität bei Baubeginn wird dadurch festgestellt, dass der Auftraggeber durch baubegleitende Bodenproben aus dem Erdaushub die Beschaffenheit des Bodens auf eigene Kosten feststellen lässt.</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4.4.5.</w:t>
      </w:r>
      <w:r>
        <w:rPr>
          <w:b/>
          <w:color w:val="999999"/>
          <w:sz w:val="18"/>
          <w:szCs w:val="18"/>
        </w:rPr>
        <w:tab/>
        <w:t>Zustand der Nutzungsflächen bei Vertragsende, Restwert</w:t>
      </w:r>
    </w:p>
    <w:p w:rsidR="00514D8B" w:rsidRDefault="00EE4096">
      <w:pPr>
        <w:spacing w:line="260" w:lineRule="exact"/>
        <w:ind w:left="567"/>
        <w:jc w:val="both"/>
        <w:rPr>
          <w:sz w:val="18"/>
          <w:szCs w:val="18"/>
        </w:rPr>
      </w:pPr>
      <w:bookmarkStart w:id="39" w:name="_Ref156799582"/>
      <w:r>
        <w:rPr>
          <w:sz w:val="18"/>
          <w:szCs w:val="18"/>
        </w:rPr>
        <w:t>Nach Ablauf des Energieliefervertrages durch Zeitablauf hat der Auftragnehmer die Anlage unverzüglich auf eigene Kosten zu entfernen und den ursprünglichen Zustand der Nutzungsfläche(n) wieder herzuste</w:t>
      </w:r>
      <w:r>
        <w:rPr>
          <w:sz w:val="18"/>
          <w:szCs w:val="18"/>
        </w:rPr>
        <w:t>l</w:t>
      </w:r>
      <w:r>
        <w:rPr>
          <w:sz w:val="18"/>
          <w:szCs w:val="18"/>
        </w:rPr>
        <w:t>len. Die Vertragspartner sind sich darüber einig, dass zum Zeitpunkt des Vertragsablaufs der Restwert der gesamten Anlage Null € beträgt.</w:t>
      </w:r>
      <w:bookmarkEnd w:id="39"/>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outlineLvl w:val="0"/>
        <w:rPr>
          <w:b/>
          <w:color w:val="00CCFF"/>
          <w:sz w:val="18"/>
          <w:szCs w:val="18"/>
        </w:rPr>
      </w:pPr>
      <w:bookmarkStart w:id="40" w:name="_Ref507825791"/>
      <w:bookmarkStart w:id="41" w:name="_Toc189878123"/>
      <w:r>
        <w:rPr>
          <w:b/>
          <w:color w:val="00CCFF"/>
          <w:sz w:val="18"/>
          <w:szCs w:val="18"/>
        </w:rPr>
        <w:t>5.</w:t>
      </w:r>
      <w:r>
        <w:rPr>
          <w:b/>
          <w:color w:val="00CCFF"/>
          <w:sz w:val="18"/>
          <w:szCs w:val="18"/>
        </w:rPr>
        <w:tab/>
        <w:t>Preise – Definition</w:t>
      </w:r>
      <w:bookmarkEnd w:id="40"/>
      <w:bookmarkEnd w:id="41"/>
    </w:p>
    <w:p w:rsidR="00514D8B" w:rsidRDefault="00EE4096">
      <w:pPr>
        <w:spacing w:line="260" w:lineRule="exact"/>
        <w:ind w:left="540"/>
        <w:jc w:val="both"/>
        <w:rPr>
          <w:sz w:val="18"/>
          <w:szCs w:val="18"/>
        </w:rPr>
      </w:pPr>
      <w:r>
        <w:rPr>
          <w:sz w:val="18"/>
          <w:szCs w:val="18"/>
        </w:rPr>
        <w:t>Die gültigen Preise befinden sich im Vertragsdatenblatt (Anlage 1).</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5.1.</w:t>
      </w:r>
      <w:r>
        <w:rPr>
          <w:b/>
          <w:color w:val="999999"/>
          <w:sz w:val="18"/>
          <w:szCs w:val="18"/>
        </w:rPr>
        <w:tab/>
        <w:t>Anschlusskostenbeitrag und Baukostenzuschuss</w:t>
      </w:r>
    </w:p>
    <w:p w:rsidR="00514D8B" w:rsidRDefault="00EE4096">
      <w:pPr>
        <w:spacing w:line="260" w:lineRule="exact"/>
        <w:ind w:left="567"/>
        <w:jc w:val="both"/>
        <w:rPr>
          <w:sz w:val="18"/>
          <w:szCs w:val="18"/>
        </w:rPr>
      </w:pPr>
      <w:r>
        <w:rPr>
          <w:sz w:val="18"/>
          <w:szCs w:val="18"/>
        </w:rPr>
        <w:t>Der Auftraggeber zahlt dem Auftragnehmer für die Erstellung der zur Energieversorgung der Liegenschaft notwendigen Anlagen keinen Anschlusskostenbeitrag.</w:t>
      </w:r>
    </w:p>
    <w:p w:rsidR="00514D8B" w:rsidRDefault="00514D8B">
      <w:pPr>
        <w:spacing w:line="260" w:lineRule="exact"/>
        <w:ind w:left="567"/>
        <w:jc w:val="both"/>
        <w:rPr>
          <w:sz w:val="18"/>
          <w:szCs w:val="18"/>
        </w:rPr>
      </w:pPr>
    </w:p>
    <w:p w:rsidR="00514D8B" w:rsidRDefault="00EE4096">
      <w:pPr>
        <w:spacing w:line="260" w:lineRule="exact"/>
        <w:ind w:left="567"/>
        <w:jc w:val="both"/>
        <w:rPr>
          <w:sz w:val="18"/>
          <w:szCs w:val="18"/>
        </w:rPr>
      </w:pPr>
      <w:r>
        <w:rPr>
          <w:sz w:val="18"/>
          <w:szCs w:val="18"/>
        </w:rPr>
        <w:t>Ein gesonderter Baukostenzuschuss oder Hausanschlusskostenbeitrag gemäß AVBFernwärmeV (Anlage 4) wird ebenfalls nicht erhoben.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5.2.</w:t>
      </w:r>
      <w:r>
        <w:rPr>
          <w:b/>
          <w:color w:val="999999"/>
          <w:sz w:val="18"/>
          <w:szCs w:val="18"/>
        </w:rPr>
        <w:tab/>
        <w:t>Grundpreis und Arbeitspreis</w:t>
      </w:r>
    </w:p>
    <w:p w:rsidR="00514D8B" w:rsidRDefault="00EE4096">
      <w:pPr>
        <w:spacing w:line="260" w:lineRule="exact"/>
        <w:ind w:left="567"/>
        <w:jc w:val="both"/>
        <w:rPr>
          <w:sz w:val="18"/>
          <w:szCs w:val="18"/>
        </w:rPr>
      </w:pPr>
      <w:r>
        <w:rPr>
          <w:sz w:val="18"/>
          <w:szCs w:val="18"/>
        </w:rPr>
        <w:t>Der Preis für die Energieversorgung gliedert sich in einen verbrauchsunabhängigen Jahresgrundpreis und einen verbrauchsabhängigen Arbeitspreis, die in der Abrechnung getrennt auszuweisen sind. Die Preise enthalten alle zur Durchführung der Energieversorgung anfallenden Kosten.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5.3.</w:t>
      </w:r>
      <w:r>
        <w:rPr>
          <w:b/>
          <w:color w:val="999999"/>
          <w:sz w:val="18"/>
          <w:szCs w:val="18"/>
        </w:rPr>
        <w:tab/>
        <w:t>Zusammensetzung des Jahresgrundpreises</w:t>
      </w:r>
    </w:p>
    <w:p w:rsidR="00514D8B" w:rsidRDefault="00EE4096">
      <w:pPr>
        <w:spacing w:line="260" w:lineRule="exact"/>
        <w:ind w:left="567"/>
        <w:jc w:val="both"/>
        <w:rPr>
          <w:sz w:val="18"/>
          <w:szCs w:val="18"/>
        </w:rPr>
      </w:pPr>
      <w:r>
        <w:rPr>
          <w:sz w:val="18"/>
          <w:szCs w:val="18"/>
        </w:rPr>
        <w:t>Der Jahresgrundpreis ist das Entgelt für die vertraglich vereinbarte thermische Leistung. Der Jahresgrun</w:t>
      </w:r>
      <w:r>
        <w:rPr>
          <w:sz w:val="18"/>
          <w:szCs w:val="18"/>
        </w:rPr>
        <w:t>d</w:t>
      </w:r>
      <w:r>
        <w:rPr>
          <w:sz w:val="18"/>
          <w:szCs w:val="18"/>
        </w:rPr>
        <w:t>preis wird in € pro Jahr erhoben und enthält sämtliche Kosten, sofern sie nicht im Arbeitspreis erfasst sind. Er schließt z. B. die Kosten für vorbereitende Maßnahmen einschließlich der Investitionen des Auftra</w:t>
      </w:r>
      <w:r>
        <w:rPr>
          <w:sz w:val="18"/>
          <w:szCs w:val="18"/>
        </w:rPr>
        <w:t>g</w:t>
      </w:r>
      <w:r>
        <w:rPr>
          <w:sz w:val="18"/>
          <w:szCs w:val="18"/>
        </w:rPr>
        <w:t>nehmers und alle erforderlichen Anschlüsse (Brennstoff, Wasser, Abwasser, Telekommunikation, B</w:t>
      </w:r>
      <w:r>
        <w:rPr>
          <w:sz w:val="18"/>
          <w:szCs w:val="18"/>
        </w:rPr>
        <w:t>e</w:t>
      </w:r>
      <w:r>
        <w:rPr>
          <w:sz w:val="18"/>
          <w:szCs w:val="18"/>
        </w:rPr>
        <w:t>triebsstrom etc.) mit ein und spiegelt sich im Wesentlichen im FixGP wieder. Mess- und Verrechnungsko</w:t>
      </w:r>
      <w:r>
        <w:rPr>
          <w:sz w:val="18"/>
          <w:szCs w:val="18"/>
        </w:rPr>
        <w:t>s</w:t>
      </w:r>
      <w:r>
        <w:rPr>
          <w:sz w:val="18"/>
          <w:szCs w:val="18"/>
        </w:rPr>
        <w:t>ten sowie Instandhaltungskosten sind ebenfalls im Jahresgrundpreis enthalten und werden im Wesentl</w:t>
      </w:r>
      <w:r>
        <w:rPr>
          <w:sz w:val="18"/>
          <w:szCs w:val="18"/>
        </w:rPr>
        <w:t>i</w:t>
      </w:r>
      <w:r>
        <w:rPr>
          <w:sz w:val="18"/>
          <w:szCs w:val="18"/>
        </w:rPr>
        <w:t>chen über die variablen Anteile VI und VL in der Preisgleitklausel abgebildet. Der Jahresgrundpreis wird in zwölftel Teilen mit den monatlichen Abschlagszahlungen fällig.</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5.4.</w:t>
      </w:r>
      <w:r>
        <w:rPr>
          <w:b/>
          <w:color w:val="999999"/>
          <w:sz w:val="18"/>
          <w:szCs w:val="18"/>
        </w:rPr>
        <w:tab/>
        <w:t>Zusammensetzung des Arbeitspreises</w:t>
      </w:r>
    </w:p>
    <w:p w:rsidR="00514D8B" w:rsidRDefault="00EE4096">
      <w:pPr>
        <w:spacing w:line="260" w:lineRule="exact"/>
        <w:ind w:left="567"/>
        <w:jc w:val="both"/>
        <w:rPr>
          <w:sz w:val="18"/>
          <w:szCs w:val="18"/>
        </w:rPr>
      </w:pPr>
      <w:bookmarkStart w:id="42" w:name="_Ref248125559"/>
      <w:r>
        <w:rPr>
          <w:sz w:val="18"/>
          <w:szCs w:val="18"/>
        </w:rPr>
        <w:t>Der Arbeitspreis ist das Entgelt für die bezogene Energiemenge und abhängig von den für die Preisglei</w:t>
      </w:r>
      <w:r>
        <w:rPr>
          <w:sz w:val="18"/>
          <w:szCs w:val="18"/>
        </w:rPr>
        <w:t>t</w:t>
      </w:r>
      <w:r>
        <w:rPr>
          <w:sz w:val="18"/>
          <w:szCs w:val="18"/>
        </w:rPr>
        <w:t>klausel angebotenen Anteilen der Energieträger. Er wird in € pro MWh erhoben, in ihm sind alle ve</w:t>
      </w:r>
      <w:r>
        <w:rPr>
          <w:sz w:val="18"/>
          <w:szCs w:val="18"/>
        </w:rPr>
        <w:t>r</w:t>
      </w:r>
      <w:r>
        <w:rPr>
          <w:sz w:val="18"/>
          <w:szCs w:val="18"/>
        </w:rPr>
        <w:t>brauchsabhängigen Kosten enthalten.</w:t>
      </w:r>
      <w:bookmarkEnd w:id="42"/>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5.5.</w:t>
      </w:r>
      <w:r>
        <w:rPr>
          <w:b/>
          <w:color w:val="999999"/>
          <w:sz w:val="18"/>
          <w:szCs w:val="18"/>
        </w:rPr>
        <w:tab/>
        <w:t>Kostenaufteilung bei Betriebsunterbrechung</w:t>
      </w:r>
    </w:p>
    <w:p w:rsidR="00514D8B" w:rsidRDefault="00EE4096">
      <w:pPr>
        <w:spacing w:line="260" w:lineRule="exact"/>
        <w:ind w:left="567"/>
        <w:jc w:val="both"/>
        <w:rPr>
          <w:sz w:val="18"/>
          <w:szCs w:val="18"/>
        </w:rPr>
      </w:pPr>
      <w:r>
        <w:rPr>
          <w:sz w:val="18"/>
          <w:szCs w:val="18"/>
        </w:rPr>
        <w:t>Die Kosten für Leistungen, die im Rahmen von Betriebsunterbrechungen notwendig werden (z. B.: Auße</w:t>
      </w:r>
      <w:r>
        <w:rPr>
          <w:sz w:val="18"/>
          <w:szCs w:val="18"/>
        </w:rPr>
        <w:t>r</w:t>
      </w:r>
      <w:r>
        <w:rPr>
          <w:sz w:val="18"/>
          <w:szCs w:val="18"/>
        </w:rPr>
        <w:t>betriebsetzen, Wiederinbetriebnahme, Neubefüllung der Anlage etc.) werden zwischen Auftragnehmer und Auftraggeber dem Verursacherprinzip entsprechend aufgeteilt.</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keepNext/>
        <w:keepLines/>
        <w:spacing w:line="260" w:lineRule="exact"/>
        <w:jc w:val="both"/>
        <w:outlineLvl w:val="0"/>
        <w:rPr>
          <w:b/>
          <w:color w:val="00CCFF"/>
          <w:sz w:val="18"/>
          <w:szCs w:val="18"/>
        </w:rPr>
      </w:pPr>
      <w:bookmarkStart w:id="43" w:name="_Toc189878125"/>
      <w:r>
        <w:rPr>
          <w:b/>
          <w:color w:val="00CCFF"/>
          <w:sz w:val="18"/>
          <w:szCs w:val="18"/>
        </w:rPr>
        <w:t>6.</w:t>
      </w:r>
      <w:r>
        <w:rPr>
          <w:b/>
          <w:color w:val="00CCFF"/>
          <w:sz w:val="18"/>
          <w:szCs w:val="18"/>
        </w:rPr>
        <w:tab/>
        <w:t>Preisanpassung</w:t>
      </w:r>
      <w:bookmarkEnd w:id="43"/>
    </w:p>
    <w:p w:rsidR="00514D8B" w:rsidRDefault="00514D8B">
      <w:pPr>
        <w:keepNext/>
        <w:keepLines/>
        <w:spacing w:line="260" w:lineRule="exact"/>
        <w:ind w:left="567"/>
        <w:jc w:val="both"/>
        <w:rPr>
          <w:sz w:val="18"/>
          <w:szCs w:val="18"/>
        </w:rPr>
      </w:pPr>
    </w:p>
    <w:p w:rsidR="00514D8B" w:rsidRDefault="00EE4096">
      <w:pPr>
        <w:keepNext/>
        <w:keepLines/>
        <w:spacing w:line="260" w:lineRule="exact"/>
        <w:jc w:val="both"/>
        <w:rPr>
          <w:b/>
          <w:color w:val="999999"/>
          <w:sz w:val="18"/>
          <w:szCs w:val="18"/>
        </w:rPr>
      </w:pPr>
      <w:r>
        <w:rPr>
          <w:b/>
          <w:color w:val="999999"/>
          <w:sz w:val="18"/>
          <w:szCs w:val="18"/>
        </w:rPr>
        <w:t>6.1.</w:t>
      </w:r>
      <w:r>
        <w:rPr>
          <w:b/>
          <w:color w:val="999999"/>
          <w:sz w:val="18"/>
          <w:szCs w:val="18"/>
        </w:rPr>
        <w:tab/>
        <w:t>Gründe für eine Preisanpassung</w:t>
      </w:r>
    </w:p>
    <w:p w:rsidR="00514D8B" w:rsidRDefault="00EE4096">
      <w:pPr>
        <w:keepNext/>
        <w:keepLines/>
        <w:spacing w:line="260" w:lineRule="exact"/>
        <w:ind w:left="567"/>
        <w:jc w:val="both"/>
        <w:rPr>
          <w:sz w:val="18"/>
          <w:szCs w:val="18"/>
        </w:rPr>
      </w:pPr>
      <w:r>
        <w:rPr>
          <w:sz w:val="18"/>
          <w:szCs w:val="18"/>
        </w:rPr>
        <w:t>Der Preis für die gelieferte Energie ist veränderlich. Etwaige Änderungen ergeben sich nach Maßgabe der nachfolgenden Preisanpassungsklauseln. Danach erhöhen bzw. reduzieren sich die Preise, wenn sich e</w:t>
      </w:r>
      <w:r>
        <w:rPr>
          <w:sz w:val="18"/>
          <w:szCs w:val="18"/>
        </w:rPr>
        <w:t>i</w:t>
      </w:r>
      <w:r>
        <w:rPr>
          <w:sz w:val="18"/>
          <w:szCs w:val="18"/>
        </w:rPr>
        <w:t>ner oder mehrere darin berücksichtigte Größen ändern. Dies gilt auch, wenn zukünftig Steuern oder son</w:t>
      </w:r>
      <w:r>
        <w:rPr>
          <w:sz w:val="18"/>
          <w:szCs w:val="18"/>
        </w:rPr>
        <w:t>s</w:t>
      </w:r>
      <w:r>
        <w:rPr>
          <w:sz w:val="18"/>
          <w:szCs w:val="18"/>
        </w:rPr>
        <w:t>tige öffentliche Abgaben oder rechtlich oder behördlich veranlasste preisrelevante Kostenbestandteile ei</w:t>
      </w:r>
      <w:r>
        <w:rPr>
          <w:sz w:val="18"/>
          <w:szCs w:val="18"/>
        </w:rPr>
        <w:t>n</w:t>
      </w:r>
      <w:r>
        <w:rPr>
          <w:sz w:val="18"/>
          <w:szCs w:val="18"/>
        </w:rPr>
        <w:t>geführt oder erstmals erhoben werden oder wegfallen, die den Energiepreis beeinflussen (z.B. CO</w:t>
      </w:r>
      <w:r>
        <w:rPr>
          <w:sz w:val="18"/>
          <w:szCs w:val="18"/>
          <w:vertAlign w:val="subscript"/>
        </w:rPr>
        <w:t>2</w:t>
      </w:r>
      <w:r>
        <w:rPr>
          <w:sz w:val="18"/>
          <w:szCs w:val="18"/>
        </w:rPr>
        <w:t>-Steuer, steuerliche Bevorzugung bei Einsatz von Kraft-Wärme-Kopplung, Erneuerbare-Energien-Gesetz etc.) sowie bei der Einführung, der Änderung oder dem Wegfall preiswirksamer Subventionen. Der Au</w:t>
      </w:r>
      <w:r>
        <w:rPr>
          <w:sz w:val="18"/>
          <w:szCs w:val="18"/>
        </w:rPr>
        <w:t>f</w:t>
      </w:r>
      <w:r>
        <w:rPr>
          <w:sz w:val="18"/>
          <w:szCs w:val="18"/>
        </w:rPr>
        <w:t>tragnehmer wird – unabhängig von einer eventuellen Preisanpassung – den Auftraggeber mit der Jahre</w:t>
      </w:r>
      <w:r>
        <w:rPr>
          <w:sz w:val="18"/>
          <w:szCs w:val="18"/>
        </w:rPr>
        <w:t>s</w:t>
      </w:r>
      <w:r>
        <w:rPr>
          <w:sz w:val="18"/>
          <w:szCs w:val="18"/>
        </w:rPr>
        <w:t>abrechnung über alle Änderungen preisrelevanter Größen informieren. Im Falle einer Wärme- und Kält</w:t>
      </w:r>
      <w:r>
        <w:rPr>
          <w:sz w:val="18"/>
          <w:szCs w:val="18"/>
        </w:rPr>
        <w:t>e</w:t>
      </w:r>
      <w:r>
        <w:rPr>
          <w:sz w:val="18"/>
          <w:szCs w:val="18"/>
        </w:rPr>
        <w:t>lieferung gelten jeweils die gleichen Formeln für die Preisanpassung - die jeweiligen Parameter für Wä</w:t>
      </w:r>
      <w:r>
        <w:rPr>
          <w:sz w:val="18"/>
          <w:szCs w:val="18"/>
        </w:rPr>
        <w:t>r</w:t>
      </w:r>
      <w:r>
        <w:rPr>
          <w:sz w:val="18"/>
          <w:szCs w:val="18"/>
        </w:rPr>
        <w:t>me- / Kältelieferung sind in den entsprechenden Einzeltabellen im Vertragsdatenblatt enthalten.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6.2.</w:t>
      </w:r>
      <w:r>
        <w:rPr>
          <w:b/>
          <w:color w:val="999999"/>
          <w:sz w:val="18"/>
          <w:szCs w:val="18"/>
        </w:rPr>
        <w:tab/>
      </w:r>
      <w:bookmarkStart w:id="44" w:name="_Ref248124892"/>
      <w:r>
        <w:rPr>
          <w:b/>
          <w:color w:val="999999"/>
          <w:sz w:val="18"/>
          <w:szCs w:val="18"/>
        </w:rPr>
        <w:t>Jahresgrundpreis</w:t>
      </w:r>
      <w:bookmarkEnd w:id="44"/>
    </w:p>
    <w:p w:rsidR="00514D8B" w:rsidRDefault="00EE4096">
      <w:pPr>
        <w:spacing w:line="260" w:lineRule="exact"/>
        <w:ind w:left="567"/>
        <w:jc w:val="both"/>
        <w:rPr>
          <w:sz w:val="18"/>
          <w:szCs w:val="18"/>
        </w:rPr>
      </w:pPr>
      <w:r>
        <w:rPr>
          <w:sz w:val="18"/>
          <w:szCs w:val="18"/>
        </w:rPr>
        <w:t>Die Preisanpassung für den Jahresgrundpreis (Preis für die Vorhaltung der Energielieferung) erfolgt auf der Grundlage folgender Formel:</w:t>
      </w:r>
    </w:p>
    <w:p w:rsidR="00514D8B" w:rsidRDefault="00514D8B">
      <w:pPr>
        <w:spacing w:line="260" w:lineRule="exact"/>
        <w:ind w:left="720"/>
        <w:jc w:val="both"/>
        <w:rPr>
          <w:sz w:val="18"/>
          <w:szCs w:val="18"/>
        </w:rPr>
      </w:pPr>
    </w:p>
    <w:p w:rsidR="00514D8B" w:rsidRDefault="00242D13">
      <w:pPr>
        <w:spacing w:line="260" w:lineRule="exact"/>
        <w:ind w:left="720" w:hanging="118"/>
        <w:jc w:val="both"/>
        <w:rPr>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35pt;margin-top:-11.65pt;width:189.75pt;height:38.25pt;z-index:251657216">
            <v:imagedata r:id="rId16" o:title=""/>
            <w10:wrap type="square"/>
          </v:shape>
          <o:OLEObject Type="Embed" ProgID="Equation.3" ShapeID="_x0000_s1026" DrawAspect="Content" ObjectID="_1572939481" r:id="rId17"/>
        </w:pict>
      </w:r>
    </w:p>
    <w:p w:rsidR="00514D8B" w:rsidRDefault="00514D8B">
      <w:pPr>
        <w:spacing w:line="260" w:lineRule="exact"/>
        <w:ind w:left="720"/>
        <w:jc w:val="both"/>
        <w:rPr>
          <w:sz w:val="18"/>
          <w:szCs w:val="18"/>
        </w:rPr>
      </w:pPr>
    </w:p>
    <w:p w:rsidR="00514D8B" w:rsidRDefault="00514D8B">
      <w:pPr>
        <w:spacing w:line="260" w:lineRule="exact"/>
        <w:ind w:left="720"/>
        <w:jc w:val="both"/>
        <w:rPr>
          <w:sz w:val="18"/>
          <w:szCs w:val="18"/>
        </w:rPr>
      </w:pPr>
    </w:p>
    <w:p w:rsidR="00514D8B" w:rsidRDefault="00EE4096">
      <w:pPr>
        <w:spacing w:line="260" w:lineRule="exact"/>
        <w:ind w:left="720"/>
        <w:jc w:val="both"/>
        <w:rPr>
          <w:i/>
          <w:sz w:val="18"/>
          <w:szCs w:val="18"/>
        </w:rPr>
      </w:pPr>
      <w:r>
        <w:rPr>
          <w:i/>
          <w:sz w:val="18"/>
          <w:szCs w:val="18"/>
        </w:rPr>
        <w:t>FixGP + VI + VL = 100%</w:t>
      </w:r>
    </w:p>
    <w:p w:rsidR="00514D8B" w:rsidRDefault="00514D8B">
      <w:pPr>
        <w:spacing w:line="260" w:lineRule="exact"/>
        <w:ind w:left="720"/>
        <w:jc w:val="both"/>
        <w:rPr>
          <w:i/>
          <w:sz w:val="18"/>
          <w:szCs w:val="18"/>
        </w:rPr>
      </w:pP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GP</w:t>
      </w:r>
      <w:r>
        <w:rPr>
          <w:sz w:val="18"/>
          <w:szCs w:val="18"/>
        </w:rPr>
        <w:tab/>
        <w:t>=</w:t>
      </w:r>
      <w:r>
        <w:rPr>
          <w:sz w:val="18"/>
          <w:szCs w:val="18"/>
        </w:rPr>
        <w:tab/>
        <w:t>Jahresgrundpreis in €/a</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GP</w:t>
      </w:r>
      <w:r>
        <w:rPr>
          <w:i/>
          <w:sz w:val="18"/>
          <w:szCs w:val="18"/>
          <w:vertAlign w:val="subscript"/>
        </w:rPr>
        <w:t>0</w:t>
      </w:r>
      <w:r>
        <w:rPr>
          <w:sz w:val="18"/>
          <w:szCs w:val="18"/>
        </w:rPr>
        <w:tab/>
        <w:t>=</w:t>
      </w:r>
      <w:r>
        <w:rPr>
          <w:sz w:val="18"/>
          <w:szCs w:val="18"/>
        </w:rPr>
        <w:tab/>
        <w:t>Basiswert Jahresgrundpreis – Zahlenwert gemäß Vertragsdatenblatt</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FixGP</w:t>
      </w:r>
      <w:r>
        <w:rPr>
          <w:sz w:val="18"/>
          <w:szCs w:val="18"/>
        </w:rPr>
        <w:tab/>
        <w:t>=</w:t>
      </w:r>
      <w:r>
        <w:rPr>
          <w:sz w:val="18"/>
          <w:szCs w:val="18"/>
        </w:rPr>
        <w:tab/>
        <w:t>unveränderbarer Fixanteil des Jahresgrundpreises</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VI</w:t>
      </w:r>
      <w:r>
        <w:rPr>
          <w:sz w:val="18"/>
          <w:szCs w:val="18"/>
        </w:rPr>
        <w:tab/>
        <w:t>=</w:t>
      </w:r>
      <w:r>
        <w:rPr>
          <w:sz w:val="18"/>
          <w:szCs w:val="18"/>
        </w:rPr>
        <w:tab/>
        <w:t>variabler investitionsabhängiger Anteil des Jahresgrundpreises</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I</w:t>
      </w:r>
      <w:r>
        <w:rPr>
          <w:sz w:val="18"/>
          <w:szCs w:val="18"/>
        </w:rPr>
        <w:tab/>
        <w:t>=</w:t>
      </w:r>
      <w:r>
        <w:rPr>
          <w:sz w:val="18"/>
          <w:szCs w:val="18"/>
        </w:rPr>
        <w:tab/>
        <w:t>aktueller Investitionsgüterindex gemäß Index "Erzeugnisse der Investitionsgüterproduze</w:t>
      </w:r>
      <w:r>
        <w:rPr>
          <w:sz w:val="18"/>
          <w:szCs w:val="18"/>
        </w:rPr>
        <w:t>n</w:t>
      </w:r>
      <w:r>
        <w:rPr>
          <w:sz w:val="18"/>
          <w:szCs w:val="18"/>
        </w:rPr>
        <w:t>ten", Fundstelle: Veröffentlichung des Statistischen Bundesamtes in Fachserie 17, Reihe 2, lfd. Nr. 3. Es gilt jeweils der Durchschnittswert der letzten 4 Quartalswerte vor dem Zei</w:t>
      </w:r>
      <w:r>
        <w:rPr>
          <w:sz w:val="18"/>
          <w:szCs w:val="18"/>
        </w:rPr>
        <w:t>t</w:t>
      </w:r>
      <w:r>
        <w:rPr>
          <w:sz w:val="18"/>
          <w:szCs w:val="18"/>
        </w:rPr>
        <w:t>punkt der Preisanpassung</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I</w:t>
      </w:r>
      <w:r>
        <w:rPr>
          <w:i/>
          <w:sz w:val="18"/>
          <w:szCs w:val="18"/>
          <w:vertAlign w:val="subscript"/>
        </w:rPr>
        <w:t>0</w:t>
      </w:r>
      <w:r>
        <w:rPr>
          <w:sz w:val="18"/>
          <w:szCs w:val="18"/>
        </w:rPr>
        <w:tab/>
        <w:t>=</w:t>
      </w:r>
      <w:r>
        <w:rPr>
          <w:sz w:val="18"/>
          <w:szCs w:val="18"/>
        </w:rPr>
        <w:tab/>
        <w:t>Basiswert Investitionsgüterindex, Fundstelle: siehe „I“ – Zahlenwert gemäß Vertragsdate</w:t>
      </w:r>
      <w:r>
        <w:rPr>
          <w:sz w:val="18"/>
          <w:szCs w:val="18"/>
        </w:rPr>
        <w:t>n</w:t>
      </w:r>
      <w:r>
        <w:rPr>
          <w:sz w:val="18"/>
          <w:szCs w:val="18"/>
        </w:rPr>
        <w:t>blatt</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VL</w:t>
      </w:r>
      <w:r>
        <w:rPr>
          <w:sz w:val="18"/>
          <w:szCs w:val="18"/>
        </w:rPr>
        <w:tab/>
        <w:t>=</w:t>
      </w:r>
      <w:r>
        <w:rPr>
          <w:sz w:val="18"/>
          <w:szCs w:val="18"/>
        </w:rPr>
        <w:tab/>
        <w:t>variabler lohnkostenabhängiger Anteil des Jahresgrundpreises</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L</w:t>
      </w:r>
      <w:r>
        <w:rPr>
          <w:sz w:val="18"/>
          <w:szCs w:val="18"/>
        </w:rPr>
        <w:tab/>
        <w:t>=</w:t>
      </w:r>
      <w:r>
        <w:rPr>
          <w:sz w:val="18"/>
          <w:szCs w:val="18"/>
        </w:rPr>
        <w:tab/>
        <w:t>aktueller Index der durchschnittlichen Bruttostundenverdienste, Fundstelle: Veröffentl</w:t>
      </w:r>
      <w:r>
        <w:rPr>
          <w:sz w:val="18"/>
          <w:szCs w:val="18"/>
        </w:rPr>
        <w:t>i</w:t>
      </w:r>
      <w:r>
        <w:rPr>
          <w:sz w:val="18"/>
          <w:szCs w:val="18"/>
        </w:rPr>
        <w:t>chung des Statistischen Bundesamtes, Durchschnittlicher Bruttostundenverdienst der vol</w:t>
      </w:r>
      <w:r>
        <w:rPr>
          <w:sz w:val="18"/>
          <w:szCs w:val="18"/>
        </w:rPr>
        <w:t>l</w:t>
      </w:r>
      <w:r>
        <w:rPr>
          <w:sz w:val="18"/>
          <w:szCs w:val="18"/>
        </w:rPr>
        <w:t>zeitbeschäftigten Arbeitnehmer im Wirtschaftszweig „Energieversorgung“, Fachserie 16 Reihe 2.2, Wirtschaftszweig D, Energieversorgung insgesamt, Bruttostundenverdienst Deutschland). Es gilt jeweils der Durchschnittswert der letzten 4 Quartalswerte vor dem Zeitpunkt der Preisanpassung</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L</w:t>
      </w:r>
      <w:r>
        <w:rPr>
          <w:i/>
          <w:sz w:val="18"/>
          <w:szCs w:val="18"/>
          <w:vertAlign w:val="subscript"/>
        </w:rPr>
        <w:t>0</w:t>
      </w:r>
      <w:r>
        <w:rPr>
          <w:sz w:val="18"/>
          <w:szCs w:val="18"/>
        </w:rPr>
        <w:tab/>
        <w:t>=</w:t>
      </w:r>
      <w:r>
        <w:rPr>
          <w:sz w:val="18"/>
          <w:szCs w:val="18"/>
        </w:rPr>
        <w:tab/>
        <w:t>Basiswert Index der durchschnittlichen Bruttostundenverdienste, Fundstelle: siehe „L“ – Zahlenwert gemäß Vertragsdatenblatt</w:t>
      </w:r>
    </w:p>
    <w:p w:rsidR="00514D8B" w:rsidRDefault="00514D8B">
      <w:pPr>
        <w:pStyle w:val="berschrift2-Text"/>
        <w:tabs>
          <w:tab w:val="clear" w:pos="1134"/>
        </w:tabs>
        <w:spacing w:line="260" w:lineRule="exact"/>
        <w:ind w:left="540"/>
        <w:jc w:val="left"/>
        <w:rPr>
          <w:sz w:val="18"/>
          <w:szCs w:val="18"/>
        </w:rPr>
      </w:pPr>
    </w:p>
    <w:p w:rsidR="00514D8B" w:rsidRDefault="00EE4096">
      <w:pPr>
        <w:keepNext/>
        <w:spacing w:line="260" w:lineRule="exact"/>
        <w:jc w:val="both"/>
        <w:rPr>
          <w:b/>
          <w:color w:val="999999"/>
          <w:sz w:val="18"/>
          <w:szCs w:val="18"/>
        </w:rPr>
      </w:pPr>
      <w:r>
        <w:rPr>
          <w:b/>
          <w:color w:val="999999"/>
          <w:sz w:val="18"/>
          <w:szCs w:val="18"/>
        </w:rPr>
        <w:t>6.3.</w:t>
      </w:r>
      <w:r>
        <w:rPr>
          <w:b/>
          <w:color w:val="999999"/>
          <w:sz w:val="18"/>
          <w:szCs w:val="18"/>
        </w:rPr>
        <w:tab/>
      </w:r>
      <w:bookmarkStart w:id="45" w:name="_Ref248125597"/>
      <w:r>
        <w:rPr>
          <w:b/>
          <w:color w:val="999999"/>
          <w:sz w:val="18"/>
          <w:szCs w:val="18"/>
        </w:rPr>
        <w:t>Arbeitspreis</w:t>
      </w:r>
      <w:bookmarkEnd w:id="45"/>
    </w:p>
    <w:p w:rsidR="00514D8B" w:rsidRDefault="00EE4096">
      <w:pPr>
        <w:keepNext/>
        <w:spacing w:line="260" w:lineRule="exact"/>
        <w:ind w:left="567"/>
        <w:jc w:val="both"/>
        <w:rPr>
          <w:sz w:val="18"/>
          <w:szCs w:val="18"/>
        </w:rPr>
      </w:pPr>
      <w:r>
        <w:rPr>
          <w:sz w:val="18"/>
          <w:szCs w:val="18"/>
        </w:rPr>
        <w:t>Die Vertragsparteien stimmen darin überein, dass gegenwärtig kein allgemein anwendbarer Preisindex für erneuerbare Energieträger existiert. Aus diesem Grund wird für die Anpassung des auf erneuerbare Ene</w:t>
      </w:r>
      <w:r>
        <w:rPr>
          <w:sz w:val="18"/>
          <w:szCs w:val="18"/>
        </w:rPr>
        <w:t>r</w:t>
      </w:r>
      <w:r>
        <w:rPr>
          <w:sz w:val="18"/>
          <w:szCs w:val="18"/>
        </w:rPr>
        <w:t>gieträger bezogenen Anteils des Arbeitspreises der untenstehend mit „reg“ bezeichnete Index verwendet.</w:t>
      </w:r>
    </w:p>
    <w:p w:rsidR="00514D8B" w:rsidRDefault="00514D8B">
      <w:pPr>
        <w:spacing w:line="260" w:lineRule="exact"/>
        <w:ind w:left="567"/>
        <w:jc w:val="both"/>
        <w:rPr>
          <w:sz w:val="18"/>
          <w:szCs w:val="18"/>
        </w:rPr>
      </w:pPr>
    </w:p>
    <w:p w:rsidR="00514D8B" w:rsidRDefault="00EE4096">
      <w:pPr>
        <w:spacing w:line="260" w:lineRule="exact"/>
        <w:ind w:left="567"/>
        <w:jc w:val="both"/>
        <w:rPr>
          <w:sz w:val="18"/>
          <w:szCs w:val="18"/>
        </w:rPr>
      </w:pPr>
      <w:r>
        <w:rPr>
          <w:sz w:val="18"/>
          <w:szCs w:val="18"/>
        </w:rPr>
        <w:t>Sollte künftig ein amtlicher Index veröffentlicht werden, der die Preisentwicklung für erneuerbare Energi</w:t>
      </w:r>
      <w:r>
        <w:rPr>
          <w:sz w:val="18"/>
          <w:szCs w:val="18"/>
        </w:rPr>
        <w:t>e</w:t>
      </w:r>
      <w:r>
        <w:rPr>
          <w:sz w:val="18"/>
          <w:szCs w:val="18"/>
        </w:rPr>
        <w:t>träger widerspiegelt, so wird dieser unverzüglich in den Energieliefervertrag übernommen. Der amtliche Index hat Vorrang vor anderen Bezugsgrößen.</w:t>
      </w:r>
    </w:p>
    <w:p w:rsidR="00514D8B" w:rsidRDefault="00514D8B">
      <w:pPr>
        <w:spacing w:line="260" w:lineRule="exact"/>
        <w:ind w:left="567"/>
        <w:jc w:val="both"/>
        <w:rPr>
          <w:sz w:val="18"/>
          <w:szCs w:val="18"/>
        </w:rPr>
      </w:pPr>
    </w:p>
    <w:p w:rsidR="00514D8B" w:rsidRDefault="00EE4096">
      <w:pPr>
        <w:spacing w:line="260" w:lineRule="exact"/>
        <w:ind w:left="567"/>
        <w:jc w:val="both"/>
        <w:rPr>
          <w:sz w:val="18"/>
          <w:szCs w:val="18"/>
        </w:rPr>
      </w:pPr>
      <w:r>
        <w:rPr>
          <w:sz w:val="18"/>
          <w:szCs w:val="18"/>
        </w:rPr>
        <w:t>Die Preisanpassung für den Arbeitspreis (Preis für die gelieferte Energiemenge pro MWh) erfolgt auf der Grundlage folgender Formel:</w:t>
      </w:r>
    </w:p>
    <w:p w:rsidR="00514D8B" w:rsidRDefault="00514D8B">
      <w:pPr>
        <w:spacing w:line="260" w:lineRule="exact"/>
        <w:ind w:left="567"/>
        <w:jc w:val="both"/>
        <w:rPr>
          <w:sz w:val="18"/>
          <w:szCs w:val="18"/>
        </w:rPr>
      </w:pPr>
    </w:p>
    <w:p w:rsidR="00514D8B" w:rsidRDefault="00242D13">
      <w:pPr>
        <w:spacing w:line="260" w:lineRule="exact"/>
        <w:ind w:left="567"/>
        <w:jc w:val="both"/>
        <w:rPr>
          <w:sz w:val="18"/>
          <w:szCs w:val="18"/>
        </w:rPr>
      </w:pPr>
      <w:r>
        <w:rPr>
          <w:noProof/>
          <w:sz w:val="18"/>
          <w:szCs w:val="18"/>
        </w:rPr>
        <w:pict>
          <v:shape id="_x0000_s1027" type="#_x0000_t75" style="position:absolute;left:0;text-align:left;margin-left:36.3pt;margin-top:-2.9pt;width:374.5pt;height:42.6pt;z-index:251658240">
            <v:imagedata r:id="rId18" o:title=""/>
            <w10:wrap type="square"/>
          </v:shape>
          <o:OLEObject Type="Embed" ProgID="Equation.3" ShapeID="_x0000_s1027" DrawAspect="Content" ObjectID="_1572939482" r:id="rId19"/>
        </w:pict>
      </w:r>
    </w:p>
    <w:p w:rsidR="00514D8B" w:rsidRDefault="00514D8B">
      <w:pPr>
        <w:spacing w:line="260" w:lineRule="exact"/>
        <w:ind w:left="720"/>
        <w:jc w:val="both"/>
        <w:rPr>
          <w:sz w:val="18"/>
          <w:szCs w:val="18"/>
        </w:rPr>
      </w:pPr>
    </w:p>
    <w:p w:rsidR="00514D8B" w:rsidRDefault="00514D8B">
      <w:pPr>
        <w:spacing w:line="260" w:lineRule="exact"/>
        <w:ind w:left="720"/>
        <w:jc w:val="both"/>
        <w:rPr>
          <w:sz w:val="18"/>
          <w:szCs w:val="18"/>
        </w:rPr>
      </w:pPr>
    </w:p>
    <w:p w:rsidR="00514D8B" w:rsidRDefault="00514D8B">
      <w:pPr>
        <w:spacing w:line="260" w:lineRule="exact"/>
        <w:ind w:left="720"/>
        <w:jc w:val="both"/>
        <w:rPr>
          <w:sz w:val="18"/>
          <w:szCs w:val="18"/>
        </w:rPr>
      </w:pPr>
    </w:p>
    <w:p w:rsidR="00514D8B" w:rsidRDefault="00EE4096">
      <w:pPr>
        <w:spacing w:line="260" w:lineRule="exact"/>
        <w:ind w:left="720"/>
        <w:jc w:val="both"/>
        <w:rPr>
          <w:i/>
          <w:sz w:val="18"/>
          <w:szCs w:val="18"/>
        </w:rPr>
      </w:pPr>
      <w:r>
        <w:rPr>
          <w:i/>
          <w:sz w:val="18"/>
          <w:szCs w:val="18"/>
        </w:rPr>
        <w:t>FixAP + V</w:t>
      </w:r>
      <w:r>
        <w:rPr>
          <w:i/>
          <w:sz w:val="14"/>
          <w:szCs w:val="14"/>
        </w:rPr>
        <w:t>Erdgas</w:t>
      </w:r>
      <w:r>
        <w:rPr>
          <w:i/>
          <w:sz w:val="18"/>
          <w:szCs w:val="18"/>
        </w:rPr>
        <w:t xml:space="preserve"> + V</w:t>
      </w:r>
      <w:r>
        <w:rPr>
          <w:i/>
          <w:sz w:val="14"/>
          <w:szCs w:val="14"/>
        </w:rPr>
        <w:t>Heizöl</w:t>
      </w:r>
      <w:r>
        <w:rPr>
          <w:i/>
          <w:sz w:val="18"/>
          <w:szCs w:val="18"/>
        </w:rPr>
        <w:t xml:space="preserve"> + V</w:t>
      </w:r>
      <w:r>
        <w:rPr>
          <w:i/>
          <w:sz w:val="14"/>
          <w:szCs w:val="14"/>
        </w:rPr>
        <w:t>reg</w:t>
      </w:r>
      <w:r>
        <w:rPr>
          <w:i/>
          <w:sz w:val="18"/>
          <w:szCs w:val="18"/>
        </w:rPr>
        <w:t xml:space="preserve"> + V</w:t>
      </w:r>
      <w:r>
        <w:rPr>
          <w:i/>
          <w:sz w:val="14"/>
          <w:szCs w:val="14"/>
        </w:rPr>
        <w:t>Strom</w:t>
      </w:r>
      <w:r>
        <w:rPr>
          <w:i/>
          <w:sz w:val="18"/>
          <w:szCs w:val="18"/>
        </w:rPr>
        <w:t xml:space="preserve"> = 100%</w:t>
      </w:r>
    </w:p>
    <w:p w:rsidR="00514D8B" w:rsidRDefault="00514D8B">
      <w:pPr>
        <w:spacing w:line="260" w:lineRule="exact"/>
        <w:ind w:left="540"/>
        <w:jc w:val="both"/>
        <w:rPr>
          <w:sz w:val="18"/>
          <w:szCs w:val="18"/>
        </w:rPr>
      </w:pP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AP</w:t>
      </w:r>
      <w:r>
        <w:rPr>
          <w:sz w:val="18"/>
          <w:szCs w:val="18"/>
        </w:rPr>
        <w:tab/>
        <w:t>=</w:t>
      </w:r>
      <w:r>
        <w:rPr>
          <w:sz w:val="18"/>
          <w:szCs w:val="18"/>
        </w:rPr>
        <w:tab/>
        <w:t>Arbeitspreis in €/MWh</w:t>
      </w: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AP</w:t>
      </w:r>
      <w:r>
        <w:rPr>
          <w:i/>
          <w:sz w:val="18"/>
          <w:szCs w:val="18"/>
          <w:vertAlign w:val="subscript"/>
        </w:rPr>
        <w:t>0</w:t>
      </w:r>
      <w:r>
        <w:rPr>
          <w:sz w:val="18"/>
          <w:szCs w:val="18"/>
        </w:rPr>
        <w:tab/>
        <w:t>=</w:t>
      </w:r>
      <w:r>
        <w:rPr>
          <w:sz w:val="18"/>
          <w:szCs w:val="18"/>
        </w:rPr>
        <w:tab/>
        <w:t>Basiswert Arbeitspreis – Zahlenwert gemäß Vertragsdatenblatt</w:t>
      </w: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FixAP</w:t>
      </w:r>
      <w:r>
        <w:rPr>
          <w:sz w:val="18"/>
          <w:szCs w:val="18"/>
        </w:rPr>
        <w:tab/>
        <w:t>=</w:t>
      </w:r>
      <w:r>
        <w:rPr>
          <w:sz w:val="18"/>
          <w:szCs w:val="18"/>
        </w:rPr>
        <w:tab/>
        <w:t>unveränderbarer Fixanteil des Arbeitspreises</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V</w:t>
      </w:r>
      <w:r>
        <w:rPr>
          <w:i/>
          <w:sz w:val="14"/>
          <w:szCs w:val="14"/>
        </w:rPr>
        <w:t>Erdgas</w:t>
      </w:r>
      <w:r>
        <w:rPr>
          <w:sz w:val="18"/>
          <w:szCs w:val="18"/>
        </w:rPr>
        <w:tab/>
        <w:t>=</w:t>
      </w:r>
      <w:r>
        <w:rPr>
          <w:sz w:val="18"/>
          <w:szCs w:val="18"/>
        </w:rPr>
        <w:tab/>
        <w:t>variabler Anteil Erdgas des Arbeitspreises</w:t>
      </w:r>
    </w:p>
    <w:p w:rsidR="00514D8B" w:rsidRDefault="00EE4096">
      <w:pPr>
        <w:pStyle w:val="berschrift2-Text"/>
        <w:tabs>
          <w:tab w:val="clear" w:pos="1134"/>
          <w:tab w:val="left" w:pos="1440"/>
          <w:tab w:val="left" w:pos="1800"/>
        </w:tabs>
        <w:spacing w:line="260" w:lineRule="exact"/>
        <w:ind w:left="1800" w:hanging="1077"/>
        <w:rPr>
          <w:sz w:val="18"/>
          <w:szCs w:val="18"/>
        </w:rPr>
      </w:pPr>
      <w:r>
        <w:rPr>
          <w:i/>
          <w:sz w:val="18"/>
          <w:szCs w:val="18"/>
        </w:rPr>
        <w:t>Erdgas</w:t>
      </w:r>
      <w:r>
        <w:rPr>
          <w:sz w:val="18"/>
          <w:szCs w:val="18"/>
        </w:rPr>
        <w:tab/>
        <w:t>=</w:t>
      </w:r>
      <w:r>
        <w:rPr>
          <w:sz w:val="18"/>
          <w:szCs w:val="18"/>
        </w:rPr>
        <w:tab/>
        <w:t>aktueller Index für Erdgas (Verteilung), Fundstelle: Veröffentlichung des Statistischen Bu</w:t>
      </w:r>
      <w:r>
        <w:rPr>
          <w:sz w:val="18"/>
          <w:szCs w:val="18"/>
        </w:rPr>
        <w:t>n</w:t>
      </w:r>
      <w:r>
        <w:rPr>
          <w:sz w:val="18"/>
          <w:szCs w:val="18"/>
        </w:rPr>
        <w:t>desamtes, Fachserie 17, Reihe 2, Nr. der GP-Systematik 35 2 „Index der Erzeugerpreise gewerblicher Produkte (Inlandsabsatz)"</w:t>
      </w:r>
    </w:p>
    <w:p w:rsidR="00514D8B" w:rsidRDefault="00EE4096">
      <w:pPr>
        <w:pStyle w:val="berschrift2-Text"/>
        <w:tabs>
          <w:tab w:val="clear" w:pos="1134"/>
          <w:tab w:val="left" w:pos="1440"/>
          <w:tab w:val="left" w:pos="1800"/>
        </w:tabs>
        <w:spacing w:line="260" w:lineRule="exact"/>
        <w:ind w:left="1797" w:hanging="1077"/>
        <w:jc w:val="left"/>
        <w:rPr>
          <w:sz w:val="18"/>
          <w:szCs w:val="18"/>
          <w:shd w:val="clear" w:color="auto" w:fill="FFFFFF"/>
        </w:rPr>
      </w:pPr>
      <w:r>
        <w:rPr>
          <w:i/>
          <w:sz w:val="18"/>
          <w:szCs w:val="18"/>
        </w:rPr>
        <w:t>Erdgas</w:t>
      </w:r>
      <w:r>
        <w:rPr>
          <w:i/>
          <w:sz w:val="18"/>
          <w:szCs w:val="18"/>
          <w:vertAlign w:val="subscript"/>
        </w:rPr>
        <w:t>0</w:t>
      </w:r>
      <w:r>
        <w:rPr>
          <w:sz w:val="18"/>
          <w:szCs w:val="18"/>
        </w:rPr>
        <w:tab/>
        <w:t>=</w:t>
      </w:r>
      <w:r>
        <w:rPr>
          <w:sz w:val="18"/>
          <w:szCs w:val="18"/>
        </w:rPr>
        <w:tab/>
        <w:t>Basiswert Index für Erdgas (Verteilung) , Fundstelle: siehe „Erdgas“ – Zahlenwert gemäß Vertragsdatenblatt</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V</w:t>
      </w:r>
      <w:r>
        <w:rPr>
          <w:i/>
          <w:sz w:val="14"/>
          <w:szCs w:val="14"/>
        </w:rPr>
        <w:t>Heizöl</w:t>
      </w:r>
      <w:r>
        <w:rPr>
          <w:sz w:val="18"/>
          <w:szCs w:val="18"/>
        </w:rPr>
        <w:tab/>
        <w:t>=</w:t>
      </w:r>
      <w:r>
        <w:rPr>
          <w:sz w:val="18"/>
          <w:szCs w:val="18"/>
        </w:rPr>
        <w:tab/>
        <w:t>variabler Anteil Heizöl des Arbeitspreises</w:t>
      </w:r>
    </w:p>
    <w:p w:rsidR="00514D8B" w:rsidRDefault="00EE4096">
      <w:pPr>
        <w:pStyle w:val="berschrift2-Text"/>
        <w:tabs>
          <w:tab w:val="clear" w:pos="1134"/>
          <w:tab w:val="left" w:pos="1440"/>
          <w:tab w:val="left" w:pos="1800"/>
        </w:tabs>
        <w:spacing w:line="260" w:lineRule="exact"/>
        <w:ind w:left="1800" w:hanging="1077"/>
        <w:rPr>
          <w:sz w:val="18"/>
          <w:szCs w:val="18"/>
        </w:rPr>
      </w:pPr>
      <w:r>
        <w:rPr>
          <w:i/>
          <w:sz w:val="18"/>
          <w:szCs w:val="18"/>
        </w:rPr>
        <w:t>Heizöl</w:t>
      </w:r>
      <w:r>
        <w:rPr>
          <w:sz w:val="18"/>
          <w:szCs w:val="18"/>
        </w:rPr>
        <w:tab/>
        <w:t>=</w:t>
      </w:r>
      <w:r>
        <w:rPr>
          <w:sz w:val="18"/>
          <w:szCs w:val="18"/>
        </w:rPr>
        <w:tab/>
        <w:t>aktueller Preisansatz für Heizöl, Fundstelle: Veröffentlichung des Statistischen Bundesa</w:t>
      </w:r>
      <w:r>
        <w:rPr>
          <w:sz w:val="18"/>
          <w:szCs w:val="18"/>
        </w:rPr>
        <w:t>m</w:t>
      </w:r>
      <w:r>
        <w:rPr>
          <w:sz w:val="18"/>
          <w:szCs w:val="18"/>
        </w:rPr>
        <w:t>tes, Preis für leichtes Heizöl (ohne Umsatzsteuer) in €/hl, Fachserie 17 – Preise Reihe 2 „Preise und Preisindizes für gewerbliche Produkte (Erzeugerpreise) Preis für Verbraucher  am Ort der Wärmelieferung bei Lieferung in Tanklastwagen von 40-50 hl pro Auftrag ei</w:t>
      </w:r>
      <w:r>
        <w:rPr>
          <w:sz w:val="18"/>
          <w:szCs w:val="18"/>
        </w:rPr>
        <w:t>n</w:t>
      </w:r>
      <w:r>
        <w:rPr>
          <w:sz w:val="18"/>
          <w:szCs w:val="18"/>
        </w:rPr>
        <w:t>schließlich Verbrauchssteuer." Maßgebend ist das arithmetische Mittel der Berichtsorte. Es gilt jeweils der Durchschnittswert des zweitletzten und drittletzten veröffentlichten Quartals vor dem Zeitpunkt der Preisanpassung</w:t>
      </w:r>
    </w:p>
    <w:p w:rsidR="00514D8B" w:rsidRDefault="00EE4096">
      <w:pPr>
        <w:pStyle w:val="berschrift2-Text"/>
        <w:tabs>
          <w:tab w:val="clear" w:pos="1134"/>
          <w:tab w:val="left" w:pos="1440"/>
          <w:tab w:val="left" w:pos="1800"/>
        </w:tabs>
        <w:spacing w:line="260" w:lineRule="exact"/>
        <w:ind w:left="1797" w:hanging="1077"/>
        <w:jc w:val="left"/>
        <w:rPr>
          <w:sz w:val="18"/>
          <w:szCs w:val="18"/>
        </w:rPr>
      </w:pPr>
      <w:r>
        <w:rPr>
          <w:i/>
          <w:sz w:val="18"/>
          <w:szCs w:val="18"/>
        </w:rPr>
        <w:t>Heizöl</w:t>
      </w:r>
      <w:r>
        <w:rPr>
          <w:i/>
          <w:sz w:val="18"/>
          <w:szCs w:val="18"/>
          <w:vertAlign w:val="subscript"/>
        </w:rPr>
        <w:t>0</w:t>
      </w:r>
      <w:r>
        <w:rPr>
          <w:sz w:val="18"/>
          <w:szCs w:val="18"/>
          <w:vertAlign w:val="subscript"/>
        </w:rPr>
        <w:tab/>
      </w:r>
      <w:r>
        <w:rPr>
          <w:sz w:val="18"/>
          <w:szCs w:val="18"/>
        </w:rPr>
        <w:t>=</w:t>
      </w:r>
      <w:r>
        <w:rPr>
          <w:sz w:val="18"/>
          <w:szCs w:val="18"/>
        </w:rPr>
        <w:tab/>
        <w:t>Basiswert Preisansatz für Heizöl</w:t>
      </w:r>
      <w:r>
        <w:rPr>
          <w:sz w:val="18"/>
          <w:szCs w:val="18"/>
        </w:rPr>
        <w:br/>
      </w:r>
      <w:r>
        <w:rPr>
          <w:sz w:val="18"/>
          <w:szCs w:val="18"/>
        </w:rPr>
        <w:tab/>
        <w:t>Es gilt jeweils der Durchschnittswert des zweitletzten und drittletzten veröffentlichten Qua</w:t>
      </w:r>
      <w:r>
        <w:rPr>
          <w:sz w:val="18"/>
          <w:szCs w:val="18"/>
        </w:rPr>
        <w:t>r</w:t>
      </w:r>
      <w:r>
        <w:rPr>
          <w:sz w:val="18"/>
          <w:szCs w:val="18"/>
        </w:rPr>
        <w:t>tals vor dem Zeitpunkt der Preisanpassung Fundstelle: siehe „Heizöl“ – Zahlenwert gemäß Vertragsdatenblatt</w:t>
      </w:r>
    </w:p>
    <w:p w:rsidR="00514D8B" w:rsidRDefault="00EE4096">
      <w:pPr>
        <w:pStyle w:val="berschrift2-Text"/>
        <w:tabs>
          <w:tab w:val="clear" w:pos="1134"/>
          <w:tab w:val="left" w:pos="1440"/>
        </w:tabs>
        <w:spacing w:line="260" w:lineRule="exact"/>
        <w:ind w:left="1797" w:hanging="1077"/>
        <w:jc w:val="left"/>
        <w:rPr>
          <w:sz w:val="18"/>
          <w:szCs w:val="18"/>
        </w:rPr>
      </w:pPr>
      <w:r>
        <w:rPr>
          <w:i/>
          <w:sz w:val="18"/>
          <w:szCs w:val="18"/>
        </w:rPr>
        <w:t>V</w:t>
      </w:r>
      <w:r>
        <w:rPr>
          <w:i/>
          <w:sz w:val="14"/>
          <w:szCs w:val="14"/>
        </w:rPr>
        <w:t>reg</w:t>
      </w:r>
      <w:r>
        <w:rPr>
          <w:sz w:val="18"/>
          <w:szCs w:val="18"/>
        </w:rPr>
        <w:tab/>
        <w:t>=</w:t>
      </w:r>
      <w:r>
        <w:rPr>
          <w:sz w:val="18"/>
          <w:szCs w:val="18"/>
        </w:rPr>
        <w:tab/>
        <w:t>variabler brennstoffabhängiger Anteil des Arbeitspreises für erneuerbare Energieträger</w:t>
      </w: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Reg</w:t>
      </w:r>
      <w:r>
        <w:rPr>
          <w:sz w:val="18"/>
          <w:szCs w:val="18"/>
        </w:rPr>
        <w:tab/>
        <w:t>=</w:t>
      </w:r>
      <w:r>
        <w:rPr>
          <w:sz w:val="18"/>
          <w:szCs w:val="18"/>
        </w:rPr>
        <w:tab/>
        <w:t>Aktueller Index für Holz in Form von Plättchen oder Schnitzel, Fundstelle: Veröffentlichung des Statistischen Bundesamtes, Fachserie 17, Reihe 2, Nr. der GP-Systematik 16 10 23. Es gilt jeweils der Durchschnittswert des zweitletzten und drittletzten veröffentlichten Qua</w:t>
      </w:r>
      <w:r>
        <w:rPr>
          <w:sz w:val="18"/>
          <w:szCs w:val="18"/>
        </w:rPr>
        <w:t>r</w:t>
      </w:r>
      <w:r>
        <w:rPr>
          <w:sz w:val="18"/>
          <w:szCs w:val="18"/>
        </w:rPr>
        <w:t>tals vor dem Zeitpunkt der Preisanpassung</w:t>
      </w: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Reg</w:t>
      </w:r>
      <w:r>
        <w:rPr>
          <w:i/>
          <w:szCs w:val="22"/>
          <w:vertAlign w:val="subscript"/>
        </w:rPr>
        <w:t>0</w:t>
      </w:r>
      <w:r>
        <w:rPr>
          <w:szCs w:val="22"/>
        </w:rPr>
        <w:tab/>
      </w:r>
      <w:r>
        <w:rPr>
          <w:sz w:val="18"/>
          <w:szCs w:val="18"/>
        </w:rPr>
        <w:t>=</w:t>
      </w:r>
      <w:r>
        <w:rPr>
          <w:sz w:val="18"/>
          <w:szCs w:val="18"/>
        </w:rPr>
        <w:tab/>
        <w:t>Basiswert Index für Holz in Form von Plättchen oder Schnitzel, Fundstelle: siehe „Reg“ – Zahlenwert gemäß Vertragsdatenblatt</w:t>
      </w: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V</w:t>
      </w:r>
      <w:r>
        <w:rPr>
          <w:i/>
          <w:sz w:val="14"/>
          <w:szCs w:val="14"/>
        </w:rPr>
        <w:t>Strom</w:t>
      </w:r>
      <w:r>
        <w:rPr>
          <w:sz w:val="18"/>
          <w:szCs w:val="18"/>
        </w:rPr>
        <w:tab/>
        <w:t>=</w:t>
      </w:r>
      <w:r>
        <w:rPr>
          <w:sz w:val="18"/>
          <w:szCs w:val="18"/>
        </w:rPr>
        <w:tab/>
        <w:t>variabler betriebsstrombezogener Anteil des Arbeitspreises</w:t>
      </w:r>
    </w:p>
    <w:p w:rsidR="00514D8B" w:rsidRDefault="00EE4096">
      <w:pPr>
        <w:pStyle w:val="berschrift2-Text"/>
        <w:keepLines/>
        <w:tabs>
          <w:tab w:val="clear" w:pos="1134"/>
          <w:tab w:val="left" w:pos="1440"/>
          <w:tab w:val="left" w:pos="1800"/>
        </w:tabs>
        <w:spacing w:line="260" w:lineRule="exact"/>
        <w:ind w:left="1797" w:hanging="1077"/>
        <w:rPr>
          <w:sz w:val="18"/>
          <w:szCs w:val="18"/>
        </w:rPr>
      </w:pPr>
      <w:r>
        <w:rPr>
          <w:i/>
          <w:sz w:val="18"/>
          <w:szCs w:val="18"/>
        </w:rPr>
        <w:t>S</w:t>
      </w:r>
      <w:r>
        <w:rPr>
          <w:sz w:val="18"/>
          <w:szCs w:val="18"/>
        </w:rPr>
        <w:tab/>
        <w:t>=</w:t>
      </w:r>
      <w:r>
        <w:rPr>
          <w:sz w:val="18"/>
          <w:szCs w:val="18"/>
        </w:rPr>
        <w:tab/>
        <w:t>aktueller Index für elektrischen Strom bei Abgabe an Sondervertragskunden in Niede</w:t>
      </w:r>
      <w:r>
        <w:rPr>
          <w:sz w:val="18"/>
          <w:szCs w:val="18"/>
        </w:rPr>
        <w:t>r</w:t>
      </w:r>
      <w:r>
        <w:rPr>
          <w:sz w:val="18"/>
          <w:szCs w:val="18"/>
        </w:rPr>
        <w:t>spannung, Fundstelle: Veröffentlichung des Statistischen Bundesamtes, Fachserie 17, Reihe 2, Nr. der GP-Systematik 35 11 14. Es gilt jeweils der Durchschnittswert des zwei</w:t>
      </w:r>
      <w:r>
        <w:rPr>
          <w:sz w:val="18"/>
          <w:szCs w:val="18"/>
        </w:rPr>
        <w:t>t</w:t>
      </w:r>
      <w:r>
        <w:rPr>
          <w:sz w:val="18"/>
          <w:szCs w:val="18"/>
        </w:rPr>
        <w:t>letzten und drittletzten veröffentlichten Quartals vor dem Zeitpunkt der Preisanpassung</w:t>
      </w:r>
    </w:p>
    <w:p w:rsidR="00514D8B" w:rsidRDefault="00EE4096">
      <w:pPr>
        <w:pStyle w:val="berschrift2-Text"/>
        <w:tabs>
          <w:tab w:val="clear" w:pos="1134"/>
          <w:tab w:val="left" w:pos="1440"/>
          <w:tab w:val="left" w:pos="1800"/>
        </w:tabs>
        <w:spacing w:line="260" w:lineRule="exact"/>
        <w:ind w:left="1797" w:hanging="1077"/>
        <w:rPr>
          <w:sz w:val="18"/>
          <w:szCs w:val="18"/>
        </w:rPr>
      </w:pPr>
      <w:r>
        <w:rPr>
          <w:i/>
          <w:sz w:val="18"/>
          <w:szCs w:val="18"/>
        </w:rPr>
        <w:t>S</w:t>
      </w:r>
      <w:r>
        <w:rPr>
          <w:i/>
          <w:sz w:val="18"/>
          <w:szCs w:val="18"/>
          <w:vertAlign w:val="subscript"/>
        </w:rPr>
        <w:t>0</w:t>
      </w:r>
      <w:r>
        <w:rPr>
          <w:sz w:val="18"/>
          <w:szCs w:val="18"/>
        </w:rPr>
        <w:tab/>
        <w:t>=</w:t>
      </w:r>
      <w:r>
        <w:rPr>
          <w:sz w:val="18"/>
          <w:szCs w:val="18"/>
        </w:rPr>
        <w:tab/>
        <w:t>Basiswert Index für Strom, Fundstelle: siehe „S“ – Zahlenwert gemäß Vertragsdatenblatt</w:t>
      </w:r>
    </w:p>
    <w:p w:rsidR="00514D8B" w:rsidRDefault="00514D8B">
      <w:pPr>
        <w:spacing w:line="260" w:lineRule="exact"/>
        <w:ind w:left="567"/>
        <w:jc w:val="both"/>
        <w:rPr>
          <w:sz w:val="18"/>
          <w:szCs w:val="18"/>
        </w:rPr>
      </w:pPr>
    </w:p>
    <w:p w:rsidR="00514D8B" w:rsidRDefault="00EE4096">
      <w:pPr>
        <w:spacing w:line="260" w:lineRule="exact"/>
        <w:jc w:val="both"/>
        <w:rPr>
          <w:b/>
          <w:sz w:val="18"/>
          <w:szCs w:val="18"/>
        </w:rPr>
      </w:pPr>
      <w:r>
        <w:rPr>
          <w:b/>
          <w:color w:val="999999"/>
          <w:sz w:val="18"/>
          <w:szCs w:val="18"/>
        </w:rPr>
        <w:t>6.4.</w:t>
      </w:r>
      <w:r>
        <w:rPr>
          <w:b/>
          <w:color w:val="999999"/>
          <w:sz w:val="18"/>
          <w:szCs w:val="18"/>
        </w:rPr>
        <w:tab/>
        <w:t>Termine für Preisanpassungen</w:t>
      </w:r>
    </w:p>
    <w:p w:rsidR="00514D8B" w:rsidRDefault="00EE4096">
      <w:pPr>
        <w:spacing w:line="260" w:lineRule="exact"/>
        <w:ind w:left="567"/>
        <w:jc w:val="both"/>
        <w:rPr>
          <w:sz w:val="18"/>
          <w:szCs w:val="18"/>
        </w:rPr>
      </w:pPr>
      <w:r>
        <w:rPr>
          <w:sz w:val="18"/>
          <w:szCs w:val="18"/>
        </w:rPr>
        <w:t>Der Auftragnehmer prüft die Notwendigkeit von Änderungen entsprechend den vorstehenden Preisanpa</w:t>
      </w:r>
      <w:r>
        <w:rPr>
          <w:sz w:val="18"/>
          <w:szCs w:val="18"/>
        </w:rPr>
        <w:t>s</w:t>
      </w:r>
      <w:r>
        <w:rPr>
          <w:sz w:val="18"/>
          <w:szCs w:val="18"/>
        </w:rPr>
        <w:t>sungsklauseln. Anpassungen des Arbeitspreises werden zum Ersten der Kalendermonate Januar, April, Juli und Oktober des Jahres vorgenommen, Anpassungen des Jahresgrundpreises einmal jährlich zum Januar eines Jahres. Die schriftliche Änderungsmitteilung wird ergänzender Bestandteil dieses Vertrages.</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6.5.</w:t>
      </w:r>
      <w:r>
        <w:rPr>
          <w:b/>
          <w:color w:val="999999"/>
          <w:sz w:val="18"/>
          <w:szCs w:val="18"/>
        </w:rPr>
        <w:tab/>
        <w:t>Vereinbarte Bezugsgrößen</w:t>
      </w:r>
    </w:p>
    <w:p w:rsidR="00514D8B" w:rsidRDefault="00EE4096">
      <w:pPr>
        <w:spacing w:line="260" w:lineRule="exact"/>
        <w:ind w:left="567"/>
        <w:jc w:val="both"/>
        <w:rPr>
          <w:sz w:val="18"/>
          <w:szCs w:val="18"/>
        </w:rPr>
      </w:pPr>
      <w:r>
        <w:rPr>
          <w:sz w:val="18"/>
          <w:szCs w:val="18"/>
        </w:rPr>
        <w:t>Die Preisänderungsfaktoren werden auf vier Dezimalstellen kaufmännisch gerundet. Werden die den Preisänderungsformeln zugrunde liegenden statistischen Indizes und Tarife nicht mehr veröffentlicht oder ungültig, so vereinbaren die Vertragspartner andere in ihren wirtschaftlichen Auswirkungen möglichst gleich oder nahe kommende Bezugsgrößen.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6.6.</w:t>
      </w:r>
      <w:r>
        <w:rPr>
          <w:b/>
          <w:color w:val="999999"/>
          <w:sz w:val="18"/>
          <w:szCs w:val="18"/>
        </w:rPr>
        <w:tab/>
        <w:t>Definition statistischer Indizes</w:t>
      </w:r>
    </w:p>
    <w:p w:rsidR="00514D8B" w:rsidRDefault="00EE4096">
      <w:pPr>
        <w:spacing w:line="260" w:lineRule="exact"/>
        <w:ind w:left="567"/>
        <w:jc w:val="both"/>
        <w:rPr>
          <w:sz w:val="18"/>
          <w:szCs w:val="18"/>
        </w:rPr>
      </w:pPr>
      <w:r>
        <w:rPr>
          <w:sz w:val="18"/>
          <w:szCs w:val="18"/>
        </w:rPr>
        <w:t>Änderungen der statistischen Indizes erfolgen entsprechend den Vorgaben des statistischen Bundesa</w:t>
      </w:r>
      <w:r>
        <w:rPr>
          <w:sz w:val="18"/>
          <w:szCs w:val="18"/>
        </w:rPr>
        <w:t>m</w:t>
      </w:r>
      <w:r>
        <w:rPr>
          <w:sz w:val="18"/>
          <w:szCs w:val="18"/>
        </w:rPr>
        <w:t>tes. Es sind die veröffentlichten Verkettungsfaktoren anzuwenden.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6.7.</w:t>
      </w:r>
      <w:r>
        <w:rPr>
          <w:b/>
          <w:color w:val="999999"/>
          <w:sz w:val="18"/>
          <w:szCs w:val="18"/>
        </w:rPr>
        <w:tab/>
        <w:t>Überprüfung der Preisänderungsklausel</w:t>
      </w:r>
    </w:p>
    <w:p w:rsidR="00514D8B" w:rsidRDefault="00EE4096">
      <w:pPr>
        <w:spacing w:line="260" w:lineRule="exact"/>
        <w:ind w:left="567"/>
        <w:jc w:val="both"/>
        <w:rPr>
          <w:sz w:val="18"/>
          <w:szCs w:val="18"/>
        </w:rPr>
      </w:pPr>
      <w:r>
        <w:rPr>
          <w:sz w:val="18"/>
          <w:szCs w:val="18"/>
        </w:rPr>
        <w:t>Wenn sich der Arbeitspreis innerhalb eines zusammenhängenden Zeitraumes von fünf Jahren oder wen</w:t>
      </w:r>
      <w:r>
        <w:rPr>
          <w:sz w:val="18"/>
          <w:szCs w:val="18"/>
        </w:rPr>
        <w:t>i</w:t>
      </w:r>
      <w:r>
        <w:rPr>
          <w:sz w:val="18"/>
          <w:szCs w:val="18"/>
        </w:rPr>
        <w:t>ger um mehr als 30 % geändert hat, so kann jeder Vertragspartner verlangen, dass die Angemessenheit der Preisänderungsklausel geprüft wird.</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6.8.</w:t>
      </w:r>
      <w:r>
        <w:rPr>
          <w:b/>
          <w:color w:val="999999"/>
          <w:sz w:val="18"/>
          <w:szCs w:val="18"/>
        </w:rPr>
        <w:tab/>
        <w:t>Ermittlung Umsatzsteuer</w:t>
      </w:r>
    </w:p>
    <w:p w:rsidR="00514D8B" w:rsidRDefault="00EE4096">
      <w:pPr>
        <w:spacing w:line="260" w:lineRule="exact"/>
        <w:ind w:left="567"/>
        <w:jc w:val="both"/>
        <w:rPr>
          <w:sz w:val="18"/>
          <w:szCs w:val="18"/>
        </w:rPr>
      </w:pPr>
      <w:r>
        <w:rPr>
          <w:sz w:val="18"/>
          <w:szCs w:val="18"/>
        </w:rPr>
        <w:t>Die im Vertragsdatenblatt (Anlage 1) angegebenen Preise sind Nettopreise zu denen die gesetzlich vorg</w:t>
      </w:r>
      <w:r>
        <w:rPr>
          <w:sz w:val="18"/>
          <w:szCs w:val="18"/>
        </w:rPr>
        <w:t>e</w:t>
      </w:r>
      <w:r>
        <w:rPr>
          <w:sz w:val="18"/>
          <w:szCs w:val="18"/>
        </w:rPr>
        <w:t>schriebene Umsatzsteuer hinzukommt.</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outlineLvl w:val="0"/>
        <w:rPr>
          <w:b/>
          <w:color w:val="00CCFF"/>
          <w:sz w:val="18"/>
          <w:szCs w:val="18"/>
        </w:rPr>
      </w:pPr>
      <w:bookmarkStart w:id="46" w:name="_Toc189878126"/>
      <w:r>
        <w:rPr>
          <w:b/>
          <w:color w:val="00CCFF"/>
          <w:sz w:val="18"/>
          <w:szCs w:val="18"/>
        </w:rPr>
        <w:t>7.</w:t>
      </w:r>
      <w:r>
        <w:rPr>
          <w:b/>
          <w:color w:val="00CCFF"/>
          <w:sz w:val="18"/>
          <w:szCs w:val="18"/>
        </w:rPr>
        <w:tab/>
        <w:t xml:space="preserve">Messungen und </w:t>
      </w:r>
      <w:bookmarkEnd w:id="46"/>
      <w:r>
        <w:rPr>
          <w:b/>
          <w:color w:val="00CCFF"/>
          <w:sz w:val="18"/>
          <w:szCs w:val="18"/>
        </w:rPr>
        <w:t>Rechnungen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7.1.</w:t>
      </w:r>
      <w:r>
        <w:rPr>
          <w:b/>
          <w:color w:val="999999"/>
          <w:sz w:val="18"/>
          <w:szCs w:val="18"/>
        </w:rPr>
        <w:tab/>
        <w:t>Mess- und Abrechnungsstelle</w:t>
      </w:r>
    </w:p>
    <w:p w:rsidR="00514D8B" w:rsidRDefault="00EE4096">
      <w:pPr>
        <w:spacing w:line="260" w:lineRule="exact"/>
        <w:ind w:left="567"/>
        <w:jc w:val="both"/>
        <w:rPr>
          <w:sz w:val="18"/>
          <w:szCs w:val="18"/>
        </w:rPr>
      </w:pPr>
      <w:r>
        <w:rPr>
          <w:sz w:val="18"/>
          <w:szCs w:val="18"/>
        </w:rPr>
        <w:t>Die für die Abrechnung und sonst nach diesem Vertrag notwendigen Messungen erfolgen an den jeweil</w:t>
      </w:r>
      <w:r>
        <w:rPr>
          <w:sz w:val="18"/>
          <w:szCs w:val="18"/>
        </w:rPr>
        <w:t>i</w:t>
      </w:r>
      <w:r>
        <w:rPr>
          <w:sz w:val="18"/>
          <w:szCs w:val="18"/>
        </w:rPr>
        <w:t>gen Mess- und Abrechnungsstellen. Für Messung, Nachprüfung von Messeinrichtungen, Ablesung und Berechnungsfehler gelten die Regelungen der AVBFernwärmeV (Anlage 4), soweit nicht in diesem Vertrag etwas anderes geregelt ist.</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7.2.</w:t>
      </w:r>
      <w:r>
        <w:rPr>
          <w:b/>
          <w:color w:val="999999"/>
          <w:sz w:val="18"/>
          <w:szCs w:val="18"/>
        </w:rPr>
        <w:tab/>
        <w:t>Abrechnungszeitraum/Zahlungen</w:t>
      </w:r>
    </w:p>
    <w:p w:rsidR="00514D8B" w:rsidRDefault="00EE4096">
      <w:pPr>
        <w:spacing w:line="260" w:lineRule="exact"/>
        <w:ind w:left="567"/>
        <w:jc w:val="both"/>
        <w:rPr>
          <w:sz w:val="18"/>
          <w:szCs w:val="18"/>
        </w:rPr>
      </w:pPr>
      <w:bookmarkStart w:id="47" w:name="_Ref185657172"/>
      <w:r>
        <w:rPr>
          <w:sz w:val="18"/>
          <w:szCs w:val="18"/>
        </w:rPr>
        <w:t>Das Abrechnungsjahr ist grundsätzlich das Kalenderjahr. Das erste Abrechnungsjahr beginnt mit Aufna</w:t>
      </w:r>
      <w:r>
        <w:rPr>
          <w:sz w:val="18"/>
          <w:szCs w:val="18"/>
        </w:rPr>
        <w:t>h</w:t>
      </w:r>
      <w:r>
        <w:rPr>
          <w:sz w:val="18"/>
          <w:szCs w:val="18"/>
        </w:rPr>
        <w:t>me der Energielieferung. Die Abrechnung für das vorausgegangene Abrechnungsjahr ist spätestens 4 Wochen nach Ende des vorausgegangenen Abrechnungsjahres dem Auftraggeber prüffähig zu überse</w:t>
      </w:r>
      <w:r>
        <w:rPr>
          <w:sz w:val="18"/>
          <w:szCs w:val="18"/>
        </w:rPr>
        <w:t>n</w:t>
      </w:r>
      <w:r>
        <w:rPr>
          <w:sz w:val="18"/>
          <w:szCs w:val="18"/>
        </w:rPr>
        <w:t>den und ist innerhalb von 8 Wochen nach Zugang der Abrechnung zur Zahlung fällig. Es sind Abschlag</w:t>
      </w:r>
      <w:r>
        <w:rPr>
          <w:sz w:val="18"/>
          <w:szCs w:val="18"/>
        </w:rPr>
        <w:t>s</w:t>
      </w:r>
      <w:r>
        <w:rPr>
          <w:sz w:val="18"/>
          <w:szCs w:val="18"/>
        </w:rPr>
        <w:t>zahlungen von 1/12 der Jahreskosten des jeweilig vorausgehenden Jahres monatlich im Voraus zu en</w:t>
      </w:r>
      <w:r>
        <w:rPr>
          <w:sz w:val="18"/>
          <w:szCs w:val="18"/>
        </w:rPr>
        <w:t>t</w:t>
      </w:r>
      <w:r>
        <w:rPr>
          <w:sz w:val="18"/>
          <w:szCs w:val="18"/>
        </w:rPr>
        <w:t xml:space="preserve">richten. </w:t>
      </w:r>
      <w:bookmarkEnd w:id="47"/>
      <w:r>
        <w:rPr>
          <w:sz w:val="18"/>
          <w:szCs w:val="18"/>
        </w:rPr>
        <w:t>Im ersten Abrechnungsjahr ist die im Vertragsdatenblatt (Anlage 1), Tabellenblatt "Preise" ang</w:t>
      </w:r>
      <w:r>
        <w:rPr>
          <w:sz w:val="18"/>
          <w:szCs w:val="18"/>
        </w:rPr>
        <w:t>e</w:t>
      </w:r>
      <w:r>
        <w:rPr>
          <w:sz w:val="18"/>
          <w:szCs w:val="18"/>
        </w:rPr>
        <w:t>gebene "Monatliche Abschlagszahlung bei Beginn der Versorgung" zu entrichten.</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7.3.</w:t>
      </w:r>
      <w:r>
        <w:rPr>
          <w:b/>
          <w:color w:val="999999"/>
          <w:sz w:val="18"/>
          <w:szCs w:val="18"/>
        </w:rPr>
        <w:tab/>
        <w:t>Verrechnung von Forderungen</w:t>
      </w:r>
    </w:p>
    <w:p w:rsidR="00514D8B" w:rsidRDefault="00EE4096">
      <w:pPr>
        <w:spacing w:line="260" w:lineRule="exact"/>
        <w:ind w:left="567"/>
        <w:jc w:val="both"/>
        <w:rPr>
          <w:sz w:val="18"/>
          <w:szCs w:val="18"/>
        </w:rPr>
      </w:pPr>
      <w:bookmarkStart w:id="48" w:name="_Ref448627185"/>
      <w:r>
        <w:rPr>
          <w:sz w:val="18"/>
          <w:szCs w:val="18"/>
        </w:rPr>
        <w:t>Eingehende Zahlungen werden auf die jeweils älteste Forderung angerechnet.</w:t>
      </w:r>
      <w:bookmarkEnd w:id="48"/>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7.4.</w:t>
      </w:r>
      <w:r>
        <w:rPr>
          <w:b/>
          <w:color w:val="999999"/>
          <w:sz w:val="18"/>
          <w:szCs w:val="18"/>
        </w:rPr>
        <w:tab/>
        <w:t>Jahresabrechnung</w:t>
      </w:r>
    </w:p>
    <w:p w:rsidR="00514D8B" w:rsidRDefault="00EE4096">
      <w:pPr>
        <w:spacing w:line="260" w:lineRule="exact"/>
        <w:ind w:left="567"/>
        <w:jc w:val="both"/>
        <w:rPr>
          <w:sz w:val="18"/>
          <w:szCs w:val="18"/>
        </w:rPr>
      </w:pPr>
      <w:r>
        <w:rPr>
          <w:sz w:val="18"/>
          <w:szCs w:val="18"/>
        </w:rPr>
        <w:t>In der Jahresabrechnung sind neben den Preisen die gelieferte Energiemenge sowie der Jahres-Lastgang aufzuführen. Diese Daten sind elektronisch an die Energieverbrauchskontrollstelle des Auftraggebers zu übermitteln. Die hierfür erforderliche Datenstruktur und -format ist der Leistungsbeschreibung (Anlage 3) zu entnehmen.</w:t>
      </w:r>
    </w:p>
    <w:p w:rsidR="00514D8B" w:rsidRDefault="00514D8B">
      <w:pPr>
        <w:spacing w:line="260" w:lineRule="exact"/>
        <w:ind w:left="567"/>
        <w:jc w:val="both"/>
        <w:rPr>
          <w:sz w:val="18"/>
          <w:szCs w:val="18"/>
        </w:rPr>
      </w:pPr>
    </w:p>
    <w:p w:rsidR="00514D8B" w:rsidRDefault="00EE4096">
      <w:pPr>
        <w:keepNext/>
        <w:spacing w:line="260" w:lineRule="exact"/>
        <w:jc w:val="both"/>
        <w:rPr>
          <w:b/>
          <w:color w:val="999999"/>
          <w:sz w:val="18"/>
          <w:szCs w:val="18"/>
        </w:rPr>
      </w:pPr>
      <w:r>
        <w:rPr>
          <w:b/>
          <w:color w:val="999999"/>
          <w:sz w:val="18"/>
          <w:szCs w:val="18"/>
        </w:rPr>
        <w:t>7.5.</w:t>
      </w:r>
      <w:r>
        <w:rPr>
          <w:b/>
          <w:color w:val="999999"/>
          <w:sz w:val="18"/>
          <w:szCs w:val="18"/>
        </w:rPr>
        <w:tab/>
        <w:t>Behandlung von Überzahlungen</w:t>
      </w:r>
    </w:p>
    <w:p w:rsidR="00514D8B" w:rsidRDefault="00EE4096">
      <w:pPr>
        <w:keepNext/>
        <w:spacing w:line="260" w:lineRule="exact"/>
        <w:ind w:left="567"/>
        <w:jc w:val="both"/>
        <w:rPr>
          <w:rFonts w:cs="Arial"/>
          <w:sz w:val="18"/>
          <w:szCs w:val="18"/>
        </w:rPr>
      </w:pPr>
      <w:r>
        <w:rPr>
          <w:sz w:val="18"/>
          <w:szCs w:val="18"/>
        </w:rPr>
        <w:t>Ergibt sich bei der Jahresabrechnung eine Überzahlung durch den Auftraggeber, so wird der Guthabenb</w:t>
      </w:r>
      <w:r>
        <w:rPr>
          <w:sz w:val="18"/>
          <w:szCs w:val="18"/>
        </w:rPr>
        <w:t>e</w:t>
      </w:r>
      <w:r>
        <w:rPr>
          <w:sz w:val="18"/>
          <w:szCs w:val="18"/>
        </w:rPr>
        <w:t xml:space="preserve">trag mit der nächsten fälligen Abschlagszahlung verrechnet. Ergibt sich eine Nachzahlungspflicht seitens des </w:t>
      </w:r>
      <w:r>
        <w:rPr>
          <w:rFonts w:cs="Arial"/>
          <w:sz w:val="18"/>
          <w:szCs w:val="18"/>
        </w:rPr>
        <w:t xml:space="preserve">Auftraggebers, ist diese mit der nächsten fälligen Abschlagszahlung zu leisten. Der Rechnungsbetrag ist in voller Höhe ohne Abzüge zu zahlen. Beide Vertragspartner haben die Zahlung </w:t>
      </w:r>
      <w:r>
        <w:rPr>
          <w:sz w:val="18"/>
          <w:szCs w:val="18"/>
        </w:rPr>
        <w:t>auf die jeweils älteste Forderung anzurechnen</w:t>
      </w:r>
      <w:r>
        <w:rPr>
          <w:rFonts w:cs="Arial"/>
          <w:sz w:val="18"/>
          <w:szCs w:val="18"/>
        </w:rPr>
        <w:t>.</w:t>
      </w:r>
    </w:p>
    <w:p w:rsidR="00514D8B" w:rsidRDefault="00514D8B">
      <w:pPr>
        <w:spacing w:line="260" w:lineRule="exact"/>
        <w:ind w:left="567"/>
        <w:jc w:val="both"/>
        <w:rPr>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7.6.</w:t>
      </w:r>
      <w:r>
        <w:rPr>
          <w:rFonts w:cs="Arial"/>
          <w:b/>
          <w:color w:val="999999"/>
          <w:sz w:val="18"/>
          <w:szCs w:val="18"/>
        </w:rPr>
        <w:tab/>
        <w:t>Vertragsbeginn/-ende während eines Abrechnungszeitraumes</w:t>
      </w:r>
    </w:p>
    <w:p w:rsidR="00514D8B" w:rsidRDefault="00EE4096">
      <w:pPr>
        <w:spacing w:line="260" w:lineRule="exact"/>
        <w:ind w:left="567"/>
        <w:jc w:val="both"/>
        <w:rPr>
          <w:rFonts w:cs="Arial"/>
          <w:sz w:val="18"/>
          <w:szCs w:val="18"/>
        </w:rPr>
      </w:pPr>
      <w:r>
        <w:rPr>
          <w:rFonts w:cs="Arial"/>
          <w:sz w:val="18"/>
          <w:szCs w:val="18"/>
        </w:rPr>
        <w:t>Beginnt oder endet die Lieferung innerhalb des Abrechnungszeitraumes, wird der Jahresgrundpreis t</w:t>
      </w:r>
      <w:r>
        <w:rPr>
          <w:rFonts w:cs="Arial"/>
          <w:sz w:val="18"/>
          <w:szCs w:val="18"/>
        </w:rPr>
        <w:t>a</w:t>
      </w:r>
      <w:r>
        <w:rPr>
          <w:rFonts w:cs="Arial"/>
          <w:sz w:val="18"/>
          <w:szCs w:val="18"/>
        </w:rPr>
        <w:t>gesanteilig auf 365 Tage berechnet.</w:t>
      </w:r>
    </w:p>
    <w:p w:rsidR="00514D8B" w:rsidRDefault="00514D8B">
      <w:pPr>
        <w:spacing w:line="260" w:lineRule="exact"/>
        <w:ind w:left="567"/>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7.7.</w:t>
      </w:r>
      <w:r>
        <w:rPr>
          <w:rFonts w:cs="Arial"/>
          <w:b/>
          <w:color w:val="999999"/>
          <w:sz w:val="18"/>
          <w:szCs w:val="18"/>
        </w:rPr>
        <w:tab/>
        <w:t>Schlussrechnung bei Vertragsende</w:t>
      </w:r>
    </w:p>
    <w:p w:rsidR="00514D8B" w:rsidRDefault="00EE4096">
      <w:pPr>
        <w:spacing w:line="260" w:lineRule="exact"/>
        <w:ind w:left="567"/>
        <w:jc w:val="both"/>
        <w:rPr>
          <w:rFonts w:cs="Arial"/>
          <w:sz w:val="18"/>
          <w:szCs w:val="18"/>
        </w:rPr>
      </w:pPr>
      <w:r>
        <w:rPr>
          <w:rFonts w:cs="Arial"/>
          <w:sz w:val="18"/>
          <w:szCs w:val="18"/>
        </w:rPr>
        <w:t>Bei Beendigung des Vertrages ist binnen 4 Wochen nach Vertragsbeendigung die Schlussrechnung zu e</w:t>
      </w:r>
      <w:r>
        <w:rPr>
          <w:rFonts w:cs="Arial"/>
          <w:sz w:val="18"/>
          <w:szCs w:val="18"/>
        </w:rPr>
        <w:t>r</w:t>
      </w:r>
      <w:r>
        <w:rPr>
          <w:rFonts w:cs="Arial"/>
          <w:sz w:val="18"/>
          <w:szCs w:val="18"/>
        </w:rPr>
        <w:t>stellen. Diese ist 3 Wochen nach Zugang fällig.</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rFonts w:cs="Arial"/>
          <w:b/>
          <w:color w:val="00CCFF"/>
          <w:sz w:val="18"/>
          <w:szCs w:val="18"/>
        </w:rPr>
      </w:pPr>
      <w:bookmarkStart w:id="49" w:name="_Ref59335553"/>
      <w:bookmarkStart w:id="50" w:name="_Toc189878127"/>
      <w:r>
        <w:rPr>
          <w:rFonts w:cs="Arial"/>
          <w:b/>
          <w:color w:val="00CCFF"/>
          <w:sz w:val="18"/>
          <w:szCs w:val="18"/>
        </w:rPr>
        <w:t>8.</w:t>
      </w:r>
      <w:r>
        <w:rPr>
          <w:rFonts w:cs="Arial"/>
          <w:b/>
          <w:color w:val="00CCFF"/>
          <w:sz w:val="18"/>
          <w:szCs w:val="18"/>
        </w:rPr>
        <w:tab/>
        <w:t>Versorgungsstörungen, Verfügbarkeit, Notdienst und Vertragsstrafe</w:t>
      </w:r>
      <w:bookmarkEnd w:id="49"/>
      <w:bookmarkEnd w:id="50"/>
    </w:p>
    <w:p w:rsidR="00514D8B" w:rsidRDefault="00514D8B">
      <w:pPr>
        <w:spacing w:line="260" w:lineRule="exact"/>
        <w:ind w:left="567"/>
        <w:jc w:val="both"/>
        <w:rPr>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8.1.</w:t>
      </w:r>
      <w:r>
        <w:rPr>
          <w:rFonts w:cs="Arial"/>
          <w:b/>
          <w:color w:val="999999"/>
          <w:sz w:val="18"/>
          <w:szCs w:val="18"/>
        </w:rPr>
        <w:tab/>
        <w:t xml:space="preserve">Ersatzbeheizung/-kühlung bei verzögertem Versorgungsbeginn </w:t>
      </w:r>
    </w:p>
    <w:p w:rsidR="00514D8B" w:rsidRDefault="00EE4096">
      <w:pPr>
        <w:spacing w:line="260" w:lineRule="exact"/>
        <w:ind w:left="567"/>
        <w:jc w:val="both"/>
        <w:rPr>
          <w:rFonts w:cs="Arial"/>
          <w:sz w:val="18"/>
          <w:szCs w:val="18"/>
        </w:rPr>
      </w:pPr>
      <w:r>
        <w:rPr>
          <w:rFonts w:cs="Arial"/>
          <w:sz w:val="18"/>
          <w:szCs w:val="18"/>
        </w:rPr>
        <w:t>Sollte die Energielieferung aus Gründen, die aus dem Verantwortungsbereich des Auftragnehmers herrü</w:t>
      </w:r>
      <w:r>
        <w:rPr>
          <w:rFonts w:cs="Arial"/>
          <w:sz w:val="18"/>
          <w:szCs w:val="18"/>
        </w:rPr>
        <w:t>h</w:t>
      </w:r>
      <w:r>
        <w:rPr>
          <w:rFonts w:cs="Arial"/>
          <w:sz w:val="18"/>
          <w:szCs w:val="18"/>
        </w:rPr>
        <w:t>ren, nicht zu dem vereinbarten Zeitpunkt aufgenommen werden, ist dieser auf eigene Kosten zur ersat</w:t>
      </w:r>
      <w:r>
        <w:rPr>
          <w:rFonts w:cs="Arial"/>
          <w:sz w:val="18"/>
          <w:szCs w:val="18"/>
        </w:rPr>
        <w:t>z</w:t>
      </w:r>
      <w:r>
        <w:rPr>
          <w:rFonts w:cs="Arial"/>
          <w:sz w:val="18"/>
          <w:szCs w:val="18"/>
        </w:rPr>
        <w:t>weisen Energielieferung bis zur Einsatzfähigkeit der Anlage verpflichtet. Kommt er dieser Pflicht nicht nach, ist der Auftraggeber zur Ersatzenergielieferung auf Kosten des Auftragnehmers nach einer Ankünd</w:t>
      </w:r>
      <w:r>
        <w:rPr>
          <w:rFonts w:cs="Arial"/>
          <w:sz w:val="18"/>
          <w:szCs w:val="18"/>
        </w:rPr>
        <w:t>i</w:t>
      </w:r>
      <w:r>
        <w:rPr>
          <w:rFonts w:cs="Arial"/>
          <w:sz w:val="18"/>
          <w:szCs w:val="18"/>
        </w:rPr>
        <w:t>gungsfrist von 72 Stunden berechtigt.</w:t>
      </w:r>
    </w:p>
    <w:p w:rsidR="00514D8B" w:rsidRDefault="00514D8B">
      <w:pPr>
        <w:spacing w:line="260" w:lineRule="exact"/>
        <w:ind w:left="567"/>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8.2.</w:t>
      </w:r>
      <w:r>
        <w:rPr>
          <w:rFonts w:cs="Arial"/>
          <w:b/>
          <w:color w:val="999999"/>
          <w:sz w:val="18"/>
          <w:szCs w:val="18"/>
        </w:rPr>
        <w:tab/>
        <w:t>Technische Möglichkeiten zur Erfassung der Betriebsparameter</w:t>
      </w:r>
    </w:p>
    <w:p w:rsidR="00514D8B" w:rsidRDefault="00EE4096">
      <w:pPr>
        <w:spacing w:line="260" w:lineRule="exact"/>
        <w:ind w:left="567"/>
        <w:jc w:val="both"/>
        <w:rPr>
          <w:rFonts w:cs="Arial"/>
          <w:sz w:val="18"/>
          <w:szCs w:val="18"/>
        </w:rPr>
      </w:pPr>
      <w:r>
        <w:rPr>
          <w:rFonts w:cs="Arial"/>
          <w:sz w:val="18"/>
          <w:szCs w:val="18"/>
        </w:rPr>
        <w:t>Der Auftragnehmer schafft die technischen Möglichkeiten, dass der Auftraggeber oder ein von ihm b</w:t>
      </w:r>
      <w:r>
        <w:rPr>
          <w:rFonts w:cs="Arial"/>
          <w:sz w:val="18"/>
          <w:szCs w:val="18"/>
        </w:rPr>
        <w:t>e</w:t>
      </w:r>
      <w:r>
        <w:rPr>
          <w:rFonts w:cs="Arial"/>
          <w:sz w:val="18"/>
          <w:szCs w:val="18"/>
        </w:rPr>
        <w:t>nannter Dritter die festgelegten Betriebsparameter jederzeit mit vertretbarem Aufwand prüfen kann. Das Nähere hierzu ist in der Leistungsbeschreibung (Anlage 3) geregelt.</w:t>
      </w:r>
    </w:p>
    <w:p w:rsidR="00514D8B" w:rsidRDefault="00514D8B">
      <w:pPr>
        <w:spacing w:line="260" w:lineRule="exact"/>
        <w:ind w:left="567"/>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8.3.</w:t>
      </w:r>
      <w:r>
        <w:rPr>
          <w:rFonts w:cs="Arial"/>
          <w:b/>
          <w:color w:val="999999"/>
          <w:sz w:val="18"/>
          <w:szCs w:val="18"/>
        </w:rPr>
        <w:tab/>
        <w:t>Technische Möglichkeiten für eine Ersatzenergielieferung</w:t>
      </w:r>
    </w:p>
    <w:p w:rsidR="00514D8B" w:rsidRDefault="00EE4096">
      <w:pPr>
        <w:spacing w:line="260" w:lineRule="exact"/>
        <w:ind w:left="567"/>
        <w:jc w:val="both"/>
        <w:rPr>
          <w:rFonts w:cs="Arial"/>
          <w:sz w:val="18"/>
          <w:szCs w:val="18"/>
        </w:rPr>
      </w:pPr>
      <w:r>
        <w:rPr>
          <w:rFonts w:cs="Arial"/>
          <w:sz w:val="18"/>
          <w:szCs w:val="18"/>
        </w:rPr>
        <w:t>Bei der Errichtung der Anlage ist ein Anschluss technisch auszuführen, der eine jederzeitige externe E</w:t>
      </w:r>
      <w:r>
        <w:rPr>
          <w:rFonts w:cs="Arial"/>
          <w:sz w:val="18"/>
          <w:szCs w:val="18"/>
        </w:rPr>
        <w:t>r</w:t>
      </w:r>
      <w:r>
        <w:rPr>
          <w:rFonts w:cs="Arial"/>
          <w:sz w:val="18"/>
          <w:szCs w:val="18"/>
        </w:rPr>
        <w:t>satzenergielieferung (z. B. durch Ankopplung eines mobilen Heizcontainers, mobilen Kälteerzeugers) e</w:t>
      </w:r>
      <w:r>
        <w:rPr>
          <w:rFonts w:cs="Arial"/>
          <w:sz w:val="18"/>
          <w:szCs w:val="18"/>
        </w:rPr>
        <w:t>r</w:t>
      </w:r>
      <w:r>
        <w:rPr>
          <w:rFonts w:cs="Arial"/>
          <w:sz w:val="18"/>
          <w:szCs w:val="18"/>
        </w:rPr>
        <w:t>möglicht. Die Details sind der Leistungsbeschreibung (Anlage 3) zu entnehmen.</w:t>
      </w:r>
    </w:p>
    <w:p w:rsidR="00514D8B" w:rsidRDefault="00514D8B">
      <w:pPr>
        <w:spacing w:line="260" w:lineRule="exact"/>
        <w:ind w:left="540"/>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8.4.</w:t>
      </w:r>
      <w:r>
        <w:rPr>
          <w:rFonts w:cs="Arial"/>
          <w:b/>
          <w:color w:val="999999"/>
          <w:sz w:val="18"/>
          <w:szCs w:val="18"/>
        </w:rPr>
        <w:tab/>
        <w:t>Mitteilungspflicht des Auftragnehmers</w:t>
      </w:r>
    </w:p>
    <w:p w:rsidR="00514D8B" w:rsidRDefault="00EE4096">
      <w:pPr>
        <w:spacing w:line="260" w:lineRule="exact"/>
        <w:ind w:left="567"/>
        <w:jc w:val="both"/>
        <w:rPr>
          <w:rFonts w:cs="Arial"/>
          <w:sz w:val="18"/>
          <w:szCs w:val="18"/>
        </w:rPr>
      </w:pPr>
      <w:bookmarkStart w:id="51" w:name="_Ref522195129"/>
      <w:r>
        <w:rPr>
          <w:rFonts w:cs="Arial"/>
          <w:sz w:val="18"/>
          <w:szCs w:val="18"/>
        </w:rPr>
        <w:t>Der Auftragnehmer wird den Auftraggeber über Versorgungsstörungen oder Versorgungsunterbrechu</w:t>
      </w:r>
      <w:r>
        <w:rPr>
          <w:rFonts w:cs="Arial"/>
          <w:sz w:val="18"/>
          <w:szCs w:val="18"/>
        </w:rPr>
        <w:t>n</w:t>
      </w:r>
      <w:r>
        <w:rPr>
          <w:rFonts w:cs="Arial"/>
          <w:sz w:val="18"/>
          <w:szCs w:val="18"/>
        </w:rPr>
        <w:t>gen, die den vereinbarten Leistungsumfang beeinträchtigen, sofort nachdem er hiervon Kenntnis erhalten hat, informieren.</w:t>
      </w:r>
      <w:bookmarkEnd w:id="51"/>
    </w:p>
    <w:p w:rsidR="00514D8B" w:rsidRDefault="00514D8B">
      <w:pPr>
        <w:spacing w:line="260" w:lineRule="exact"/>
        <w:ind w:left="567"/>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8.5.</w:t>
      </w:r>
      <w:r>
        <w:rPr>
          <w:rFonts w:cs="Arial"/>
          <w:b/>
          <w:color w:val="999999"/>
          <w:sz w:val="18"/>
          <w:szCs w:val="18"/>
        </w:rPr>
        <w:tab/>
        <w:t>Mitteilungspflicht des Auftraggebers</w:t>
      </w:r>
    </w:p>
    <w:p w:rsidR="00514D8B" w:rsidRDefault="00EE4096">
      <w:pPr>
        <w:spacing w:line="260" w:lineRule="exact"/>
        <w:ind w:left="567"/>
        <w:jc w:val="both"/>
        <w:rPr>
          <w:rFonts w:cs="Arial"/>
          <w:sz w:val="18"/>
          <w:szCs w:val="18"/>
        </w:rPr>
      </w:pPr>
      <w:bookmarkStart w:id="52" w:name="_Ref522192065"/>
      <w:r>
        <w:rPr>
          <w:rFonts w:cs="Arial"/>
          <w:sz w:val="18"/>
          <w:szCs w:val="18"/>
        </w:rPr>
        <w:t>Unbeschadet der Mitteilungspflicht des Auftragnehmers wird der Auftraggeber den Auftragnehmer über e</w:t>
      </w:r>
      <w:r>
        <w:rPr>
          <w:rFonts w:cs="Arial"/>
          <w:sz w:val="18"/>
          <w:szCs w:val="18"/>
        </w:rPr>
        <w:t>i</w:t>
      </w:r>
      <w:r>
        <w:rPr>
          <w:rFonts w:cs="Arial"/>
          <w:sz w:val="18"/>
          <w:szCs w:val="18"/>
        </w:rPr>
        <w:t>ne Nichteinhaltung der vertraglich vereinbarten Betriebsparameter bzw. Versorgungsstörungen informi</w:t>
      </w:r>
      <w:r>
        <w:rPr>
          <w:rFonts w:cs="Arial"/>
          <w:sz w:val="18"/>
          <w:szCs w:val="18"/>
        </w:rPr>
        <w:t>e</w:t>
      </w:r>
      <w:r>
        <w:rPr>
          <w:rFonts w:cs="Arial"/>
          <w:sz w:val="18"/>
          <w:szCs w:val="18"/>
        </w:rPr>
        <w:t>ren, sobald er hiervon Kenntnis erhält. Der Auftragnehmer wird dafür sorgen, dass diesbezügliche Me</w:t>
      </w:r>
      <w:r>
        <w:rPr>
          <w:rFonts w:cs="Arial"/>
          <w:sz w:val="18"/>
          <w:szCs w:val="18"/>
        </w:rPr>
        <w:t>l</w:t>
      </w:r>
      <w:r>
        <w:rPr>
          <w:rFonts w:cs="Arial"/>
          <w:sz w:val="18"/>
          <w:szCs w:val="18"/>
        </w:rPr>
        <w:t>dungen durch eine ständig besetzte Stelle in deutscher Sprache von ihm angenommen werden können. Wird der Auftragnehmer nach einer Meldung im Sinne von Satz 1 tätig, kann er den Ersatz der ihm durch die Reaktion auf die Störungsmeldung entstandenen Kosten vom Auftraggeber verlangen, wenn die Ve</w:t>
      </w:r>
      <w:r>
        <w:rPr>
          <w:rFonts w:cs="Arial"/>
          <w:sz w:val="18"/>
          <w:szCs w:val="18"/>
        </w:rPr>
        <w:t>r</w:t>
      </w:r>
      <w:r>
        <w:rPr>
          <w:rFonts w:cs="Arial"/>
          <w:sz w:val="18"/>
          <w:szCs w:val="18"/>
        </w:rPr>
        <w:t>sorgungsstörungen nicht aus seinem Verantwortungsbereich herrühren und die vertraglich vereinbarten Betriebsparameter eingehalten sind.</w:t>
      </w:r>
      <w:bookmarkEnd w:id="52"/>
    </w:p>
    <w:p w:rsidR="00514D8B" w:rsidRDefault="00514D8B">
      <w:pPr>
        <w:spacing w:line="260" w:lineRule="exact"/>
        <w:ind w:left="540"/>
        <w:jc w:val="both"/>
        <w:rPr>
          <w:rFonts w:cs="Arial"/>
          <w:sz w:val="18"/>
          <w:szCs w:val="18"/>
        </w:rPr>
      </w:pPr>
    </w:p>
    <w:p w:rsidR="00514D8B" w:rsidRDefault="00EE4096">
      <w:pPr>
        <w:keepNext/>
        <w:spacing w:line="260" w:lineRule="exact"/>
        <w:jc w:val="both"/>
        <w:rPr>
          <w:rFonts w:cs="Arial"/>
          <w:b/>
          <w:color w:val="999999"/>
          <w:sz w:val="18"/>
          <w:szCs w:val="18"/>
        </w:rPr>
      </w:pPr>
      <w:r>
        <w:rPr>
          <w:rFonts w:cs="Arial"/>
          <w:b/>
          <w:color w:val="999999"/>
          <w:sz w:val="18"/>
          <w:szCs w:val="18"/>
        </w:rPr>
        <w:t>8.6.</w:t>
      </w:r>
      <w:r>
        <w:rPr>
          <w:rFonts w:cs="Arial"/>
          <w:b/>
          <w:color w:val="999999"/>
          <w:sz w:val="18"/>
          <w:szCs w:val="18"/>
        </w:rPr>
        <w:tab/>
        <w:t>Reaktionszeiten</w:t>
      </w:r>
    </w:p>
    <w:p w:rsidR="00514D8B" w:rsidRDefault="00EE4096">
      <w:pPr>
        <w:keepNext/>
        <w:tabs>
          <w:tab w:val="left" w:pos="8460"/>
        </w:tabs>
        <w:spacing w:line="260" w:lineRule="exact"/>
        <w:ind w:left="567"/>
        <w:jc w:val="both"/>
        <w:rPr>
          <w:rFonts w:cs="Arial"/>
          <w:sz w:val="18"/>
          <w:szCs w:val="18"/>
        </w:rPr>
      </w:pPr>
      <w:bookmarkStart w:id="53" w:name="_Ref522195107"/>
      <w:r>
        <w:rPr>
          <w:rFonts w:cs="Arial"/>
          <w:sz w:val="18"/>
          <w:szCs w:val="18"/>
        </w:rPr>
        <w:t>Im Falle von Versorgungsstörungen, die dem Auftragnehmer nach Mitteilung durch den Auftraggeber b</w:t>
      </w:r>
      <w:r>
        <w:rPr>
          <w:rFonts w:cs="Arial"/>
          <w:sz w:val="18"/>
          <w:szCs w:val="18"/>
        </w:rPr>
        <w:t>e</w:t>
      </w:r>
      <w:r>
        <w:rPr>
          <w:rFonts w:cs="Arial"/>
          <w:sz w:val="18"/>
          <w:szCs w:val="18"/>
        </w:rPr>
        <w:t>kannt werden, oder nach dem Bekanntwerden solcher Störungen durch von ihm installierte Überw</w:t>
      </w:r>
      <w:r>
        <w:rPr>
          <w:rFonts w:cs="Arial"/>
          <w:sz w:val="18"/>
          <w:szCs w:val="18"/>
        </w:rPr>
        <w:t>a</w:t>
      </w:r>
      <w:r>
        <w:rPr>
          <w:rFonts w:cs="Arial"/>
          <w:sz w:val="18"/>
          <w:szCs w:val="18"/>
        </w:rPr>
        <w:t>chungseinrichtungen, wird der Auftragnehmer oder ein von ihm beauftragter Dritter gemäß der im Ve</w:t>
      </w:r>
      <w:r>
        <w:rPr>
          <w:rFonts w:cs="Arial"/>
          <w:sz w:val="18"/>
          <w:szCs w:val="18"/>
        </w:rPr>
        <w:t>r</w:t>
      </w:r>
      <w:r>
        <w:rPr>
          <w:rFonts w:cs="Arial"/>
          <w:sz w:val="18"/>
          <w:szCs w:val="18"/>
        </w:rPr>
        <w:t>tragsdatenblatt (Anlage 1) festgelegten Fristen mit der Ursachenfeststellung und Behebung des Mangels beginnen</w:t>
      </w:r>
      <w:bookmarkEnd w:id="53"/>
      <w:r>
        <w:rPr>
          <w:rFonts w:cs="Arial"/>
          <w:sz w:val="18"/>
          <w:szCs w:val="18"/>
        </w:rPr>
        <w:t>.</w:t>
      </w:r>
    </w:p>
    <w:p w:rsidR="00514D8B" w:rsidRDefault="00514D8B">
      <w:pPr>
        <w:tabs>
          <w:tab w:val="left" w:pos="8460"/>
        </w:tabs>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8.7.</w:t>
      </w:r>
      <w:r>
        <w:rPr>
          <w:b/>
          <w:color w:val="999999"/>
          <w:sz w:val="18"/>
          <w:szCs w:val="18"/>
        </w:rPr>
        <w:tab/>
        <w:t>Vermeidung von Frostschäden</w:t>
      </w:r>
    </w:p>
    <w:p w:rsidR="00514D8B" w:rsidRDefault="00EE4096">
      <w:pPr>
        <w:spacing w:line="260" w:lineRule="exact"/>
        <w:ind w:left="567"/>
        <w:jc w:val="both"/>
        <w:rPr>
          <w:sz w:val="18"/>
          <w:szCs w:val="18"/>
        </w:rPr>
      </w:pPr>
      <w:r>
        <w:rPr>
          <w:sz w:val="18"/>
          <w:szCs w:val="18"/>
        </w:rPr>
        <w:t>Sollte durch einen Ausfall der Anlage des Auftragnehmers die Gefahr von Schäden an Gebäuden, Leitu</w:t>
      </w:r>
      <w:r>
        <w:rPr>
          <w:sz w:val="18"/>
          <w:szCs w:val="18"/>
        </w:rPr>
        <w:t>n</w:t>
      </w:r>
      <w:r>
        <w:rPr>
          <w:sz w:val="18"/>
          <w:szCs w:val="18"/>
        </w:rPr>
        <w:t>gen, Anlagen oder Einrichtungen des Auftraggebers z. B. durch Frostschäden von Heizungs- und Trin</w:t>
      </w:r>
      <w:r>
        <w:rPr>
          <w:sz w:val="18"/>
          <w:szCs w:val="18"/>
        </w:rPr>
        <w:t>k</w:t>
      </w:r>
      <w:r>
        <w:rPr>
          <w:sz w:val="18"/>
          <w:szCs w:val="18"/>
        </w:rPr>
        <w:t>wasserleitungen bestehen, wird der Auftragnehmer gemeinsam mit dem Auftraggeber unverzüglich die zur Verhinderung solcher Schäden notwendigen Maßnahmen ergreifen. Kommt er dieser Pflicht nicht nach, ist der Auftraggeber zur Ersatzvornahme auf Kosten des Auftragnehmers nach einer Ankündigungsfrist von 3 Stunden berechtigt. Für Schäden gilt die Ziffer "Haftung bei verzögertem Lieferbeginn/Versorgungs-störung".</w:t>
      </w:r>
    </w:p>
    <w:p w:rsidR="00514D8B" w:rsidRDefault="00514D8B">
      <w:pPr>
        <w:spacing w:line="260" w:lineRule="exact"/>
        <w:ind w:left="540"/>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8.8.</w:t>
      </w:r>
      <w:r>
        <w:rPr>
          <w:rFonts w:cs="Arial"/>
          <w:b/>
          <w:color w:val="999999"/>
          <w:sz w:val="18"/>
          <w:szCs w:val="18"/>
        </w:rPr>
        <w:tab/>
        <w:t>Überschreitung der vorgegebenen Fristen zur Wiederaufnahme der Versorgung</w:t>
      </w:r>
    </w:p>
    <w:p w:rsidR="00514D8B" w:rsidRDefault="00EE4096">
      <w:pPr>
        <w:spacing w:line="260" w:lineRule="exact"/>
        <w:ind w:left="567"/>
        <w:jc w:val="both"/>
        <w:rPr>
          <w:rFonts w:cs="Arial"/>
          <w:sz w:val="18"/>
          <w:szCs w:val="18"/>
        </w:rPr>
      </w:pPr>
      <w:r>
        <w:rPr>
          <w:rFonts w:cs="Arial"/>
          <w:sz w:val="18"/>
          <w:szCs w:val="18"/>
        </w:rPr>
        <w:t>Sollte bei Versorgungsstörungen die Energielieferung innerhalb der im Vertragsdatenblatt (Anlage 1) fes</w:t>
      </w:r>
      <w:r>
        <w:rPr>
          <w:rFonts w:cs="Arial"/>
          <w:sz w:val="18"/>
          <w:szCs w:val="18"/>
        </w:rPr>
        <w:t>t</w:t>
      </w:r>
      <w:r>
        <w:rPr>
          <w:rFonts w:cs="Arial"/>
          <w:sz w:val="18"/>
          <w:szCs w:val="18"/>
        </w:rPr>
        <w:t>gelegten Zeitspanne nach Meldung oder Bekanntwerden der Störung nicht wieder vertragsgemäß aufg</w:t>
      </w:r>
      <w:r>
        <w:rPr>
          <w:rFonts w:cs="Arial"/>
          <w:sz w:val="18"/>
          <w:szCs w:val="18"/>
        </w:rPr>
        <w:t>e</w:t>
      </w:r>
      <w:r>
        <w:rPr>
          <w:rFonts w:cs="Arial"/>
          <w:sz w:val="18"/>
          <w:szCs w:val="18"/>
        </w:rPr>
        <w:t>nommen werden können, ist der Auftragnehmer zur Ersatzenergielieferung bis zur Behebung der Störung verpflichtet. Kommt er dieser Pflicht nicht nach, ist der Auftraggeber zur Ersatzvornahme nach einer A</w:t>
      </w:r>
      <w:r>
        <w:rPr>
          <w:rFonts w:cs="Arial"/>
          <w:sz w:val="18"/>
          <w:szCs w:val="18"/>
        </w:rPr>
        <w:t>n</w:t>
      </w:r>
      <w:r>
        <w:rPr>
          <w:rFonts w:cs="Arial"/>
          <w:sz w:val="18"/>
          <w:szCs w:val="18"/>
        </w:rPr>
        <w:t>kündigungsfrist gemäß Vertragsdatenblatt (Anlage 1) berechtigt. Bei Versorgungsstörungen, die aus dem Verantwortungsbereich des Auftragnehmers herrühren, erfolgen Ersatzenergielieferung und Ersatzvo</w:t>
      </w:r>
      <w:r>
        <w:rPr>
          <w:rFonts w:cs="Arial"/>
          <w:sz w:val="18"/>
          <w:szCs w:val="18"/>
        </w:rPr>
        <w:t>r</w:t>
      </w:r>
      <w:r>
        <w:rPr>
          <w:rFonts w:cs="Arial"/>
          <w:sz w:val="18"/>
          <w:szCs w:val="18"/>
        </w:rPr>
        <w:t>nahme auf seine Kosten, andernfalls auf Kosten des Auftraggebers.</w:t>
      </w:r>
    </w:p>
    <w:p w:rsidR="00514D8B" w:rsidRDefault="00514D8B">
      <w:pPr>
        <w:spacing w:line="260" w:lineRule="exact"/>
        <w:ind w:left="567"/>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8.9.</w:t>
      </w:r>
      <w:r>
        <w:rPr>
          <w:rFonts w:cs="Arial"/>
          <w:b/>
          <w:color w:val="999999"/>
          <w:sz w:val="18"/>
          <w:szCs w:val="18"/>
        </w:rPr>
        <w:tab/>
        <w:t>Vertragsstrafe</w:t>
      </w:r>
    </w:p>
    <w:p w:rsidR="00514D8B" w:rsidRDefault="00EE4096">
      <w:pPr>
        <w:spacing w:line="260" w:lineRule="exact"/>
        <w:ind w:left="567"/>
        <w:jc w:val="both"/>
        <w:rPr>
          <w:rFonts w:cs="Arial"/>
          <w:sz w:val="18"/>
          <w:szCs w:val="18"/>
        </w:rPr>
      </w:pPr>
      <w:bookmarkStart w:id="54" w:name="_Ref522193695"/>
      <w:r>
        <w:rPr>
          <w:rFonts w:cs="Arial"/>
          <w:sz w:val="18"/>
          <w:szCs w:val="18"/>
        </w:rPr>
        <w:t>Treten während der Vertragsdauer Versorgungsstörungen auf oder sind die festgelegten Betriebsparam</w:t>
      </w:r>
      <w:r>
        <w:rPr>
          <w:rFonts w:cs="Arial"/>
          <w:sz w:val="18"/>
          <w:szCs w:val="18"/>
        </w:rPr>
        <w:t>e</w:t>
      </w:r>
      <w:r>
        <w:rPr>
          <w:rFonts w:cs="Arial"/>
          <w:sz w:val="18"/>
          <w:szCs w:val="18"/>
        </w:rPr>
        <w:t>ter aus Gründen, die aus dem Verantwortungsbereich des Auftragnehmers herrühren, länger als die fes</w:t>
      </w:r>
      <w:r>
        <w:rPr>
          <w:rFonts w:cs="Arial"/>
          <w:sz w:val="18"/>
          <w:szCs w:val="18"/>
        </w:rPr>
        <w:t>t</w:t>
      </w:r>
      <w:r>
        <w:rPr>
          <w:rFonts w:cs="Arial"/>
          <w:sz w:val="18"/>
          <w:szCs w:val="18"/>
        </w:rPr>
        <w:t>gelegten zulässigen Gesamtausfallzeiten nicht eingehalten, hat der Auftraggeber einen Anspruch auf Ve</w:t>
      </w:r>
      <w:r>
        <w:rPr>
          <w:rFonts w:cs="Arial"/>
          <w:sz w:val="18"/>
          <w:szCs w:val="18"/>
        </w:rPr>
        <w:t>r</w:t>
      </w:r>
      <w:r>
        <w:rPr>
          <w:rFonts w:cs="Arial"/>
          <w:sz w:val="18"/>
          <w:szCs w:val="18"/>
        </w:rPr>
        <w:t>tragsstrafe in Höhe von 10 % der monatlichen Abschlagszahlung je angefangenem 4-Stunden-Intervall für jeden Fall einer solchen Nichteinhaltung vertraglicher Pflichten. Dies gilt nicht, wenn der Auftragnehmer ausreichende Maßnahmen zu einer ersatzweisen Energielieferung ergreift.</w:t>
      </w:r>
    </w:p>
    <w:p w:rsidR="00514D8B" w:rsidRDefault="00514D8B">
      <w:pPr>
        <w:spacing w:line="260" w:lineRule="exact"/>
        <w:ind w:left="567"/>
        <w:jc w:val="both"/>
        <w:rPr>
          <w:rFonts w:cs="Arial"/>
          <w:sz w:val="18"/>
          <w:szCs w:val="18"/>
        </w:rPr>
      </w:pPr>
    </w:p>
    <w:p w:rsidR="00514D8B" w:rsidRDefault="00EE4096">
      <w:pPr>
        <w:spacing w:line="260" w:lineRule="exact"/>
        <w:ind w:left="567"/>
        <w:jc w:val="both"/>
        <w:rPr>
          <w:rFonts w:cs="Arial"/>
          <w:sz w:val="18"/>
          <w:szCs w:val="18"/>
        </w:rPr>
      </w:pPr>
      <w:r>
        <w:rPr>
          <w:rFonts w:cs="Arial"/>
          <w:sz w:val="18"/>
          <w:szCs w:val="18"/>
        </w:rPr>
        <w:t>Für Überschreitungen der Emissionen von CO2-Äquivalenten aus Gründen, die aus dem Verantwortung</w:t>
      </w:r>
      <w:r>
        <w:rPr>
          <w:rFonts w:cs="Arial"/>
          <w:sz w:val="18"/>
          <w:szCs w:val="18"/>
        </w:rPr>
        <w:t>s</w:t>
      </w:r>
      <w:r>
        <w:rPr>
          <w:rFonts w:cs="Arial"/>
          <w:sz w:val="18"/>
          <w:szCs w:val="18"/>
        </w:rPr>
        <w:t xml:space="preserve">bereich des Auftragnehmers herrühren, wird je angefangene Tonne als Vertragsstrafe das </w:t>
      </w:r>
      <w:bookmarkStart w:id="55" w:name="Text149"/>
      <w:r>
        <w:rPr>
          <w:rFonts w:cs="Arial"/>
          <w:sz w:val="18"/>
          <w:szCs w:val="18"/>
          <w:highlight w:val="yellow"/>
        </w:rPr>
        <w:fldChar w:fldCharType="begin">
          <w:ffData>
            <w:name w:val="Text149"/>
            <w:enabled/>
            <w:calcOnExit w:val="0"/>
            <w:textInput>
              <w:default w:val="5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50</w:t>
      </w:r>
      <w:r>
        <w:rPr>
          <w:rFonts w:cs="Arial"/>
          <w:sz w:val="18"/>
          <w:szCs w:val="18"/>
          <w:highlight w:val="yellow"/>
        </w:rPr>
        <w:fldChar w:fldCharType="end"/>
      </w:r>
      <w:bookmarkEnd w:id="55"/>
      <w:r>
        <w:rPr>
          <w:rFonts w:cs="Arial"/>
          <w:sz w:val="18"/>
          <w:szCs w:val="18"/>
        </w:rPr>
        <w:t xml:space="preserve">-fache des Betrages fällig, der sich aus dem Durchschnittwert des zurückliegenden Abrechnungsjahres der von der European Energy Exchange AG (EEX), Leipzig, veröffentlichten Preise für Emissionsrechte an CO2-Äquivalenten (EUA Primary Auction Derivatives) ergibt. </w:t>
      </w:r>
    </w:p>
    <w:p w:rsidR="00514D8B" w:rsidRDefault="00514D8B">
      <w:pPr>
        <w:spacing w:line="260" w:lineRule="exact"/>
        <w:ind w:left="567"/>
        <w:jc w:val="both"/>
        <w:rPr>
          <w:rFonts w:cs="Arial"/>
          <w:sz w:val="18"/>
          <w:szCs w:val="18"/>
        </w:rPr>
      </w:pPr>
    </w:p>
    <w:p w:rsidR="00514D8B" w:rsidRDefault="00EE4096">
      <w:pPr>
        <w:spacing w:line="260" w:lineRule="exact"/>
        <w:ind w:left="567"/>
        <w:jc w:val="both"/>
        <w:rPr>
          <w:rFonts w:cs="Arial"/>
          <w:sz w:val="18"/>
          <w:szCs w:val="18"/>
        </w:rPr>
      </w:pPr>
      <w:r>
        <w:rPr>
          <w:rFonts w:cs="Arial"/>
          <w:sz w:val="18"/>
          <w:szCs w:val="18"/>
        </w:rPr>
        <w:t>Diese Vertragsstrafen werden in den Rechnungen des Auftragnehmers ausgewiesen und reduzieren en</w:t>
      </w:r>
      <w:r>
        <w:rPr>
          <w:rFonts w:cs="Arial"/>
          <w:sz w:val="18"/>
          <w:szCs w:val="18"/>
        </w:rPr>
        <w:t>t</w:t>
      </w:r>
      <w:r>
        <w:rPr>
          <w:rFonts w:cs="Arial"/>
          <w:sz w:val="18"/>
          <w:szCs w:val="18"/>
        </w:rPr>
        <w:t>sprechend das Entgelt für die gelieferte Energie.</w:t>
      </w:r>
      <w:bookmarkEnd w:id="54"/>
    </w:p>
    <w:p w:rsidR="00514D8B" w:rsidRDefault="00514D8B">
      <w:pPr>
        <w:spacing w:line="260" w:lineRule="exact"/>
        <w:ind w:left="567"/>
        <w:jc w:val="both"/>
        <w:rPr>
          <w:rFonts w:cs="Arial"/>
          <w:sz w:val="18"/>
          <w:szCs w:val="18"/>
        </w:rPr>
      </w:pPr>
    </w:p>
    <w:p w:rsidR="00514D8B" w:rsidRDefault="00EE4096">
      <w:pPr>
        <w:spacing w:line="260" w:lineRule="exact"/>
        <w:ind w:left="567"/>
        <w:jc w:val="both"/>
        <w:rPr>
          <w:rFonts w:cs="Arial"/>
          <w:sz w:val="18"/>
          <w:szCs w:val="18"/>
        </w:rPr>
      </w:pPr>
      <w:r>
        <w:rPr>
          <w:rFonts w:cs="Arial"/>
          <w:sz w:val="18"/>
          <w:szCs w:val="18"/>
        </w:rPr>
        <w:t>Der Betrag beider Vertragsstrafen darf je Abrechnungsjahr zusammen maximal 10 % der Abrechnung</w:t>
      </w:r>
      <w:r>
        <w:rPr>
          <w:rFonts w:cs="Arial"/>
          <w:sz w:val="18"/>
          <w:szCs w:val="18"/>
        </w:rPr>
        <w:t>s</w:t>
      </w:r>
      <w:r>
        <w:rPr>
          <w:rFonts w:cs="Arial"/>
          <w:sz w:val="18"/>
          <w:szCs w:val="18"/>
        </w:rPr>
        <w:t>summe des Vorjahres ergeben.</w:t>
      </w:r>
    </w:p>
    <w:p w:rsidR="00514D8B" w:rsidRDefault="00514D8B">
      <w:pPr>
        <w:spacing w:line="260" w:lineRule="exact"/>
        <w:ind w:left="567"/>
        <w:jc w:val="both"/>
        <w:rPr>
          <w:rFonts w:cs="Arial"/>
          <w:sz w:val="18"/>
          <w:szCs w:val="18"/>
        </w:rPr>
      </w:pPr>
    </w:p>
    <w:p w:rsidR="00514D8B" w:rsidRDefault="00EE4096">
      <w:pPr>
        <w:spacing w:line="260" w:lineRule="exact"/>
        <w:jc w:val="both"/>
        <w:rPr>
          <w:rFonts w:cs="Arial"/>
          <w:b/>
          <w:color w:val="999999"/>
          <w:sz w:val="18"/>
          <w:szCs w:val="18"/>
        </w:rPr>
      </w:pPr>
      <w:r>
        <w:rPr>
          <w:rFonts w:cs="Arial"/>
          <w:b/>
          <w:color w:val="999999"/>
          <w:sz w:val="18"/>
          <w:szCs w:val="18"/>
        </w:rPr>
        <w:t>8.10.</w:t>
      </w:r>
      <w:r>
        <w:rPr>
          <w:rFonts w:cs="Arial"/>
          <w:b/>
          <w:color w:val="999999"/>
          <w:sz w:val="18"/>
          <w:szCs w:val="18"/>
        </w:rPr>
        <w:tab/>
        <w:t>Verfügbarkeiten</w:t>
      </w:r>
    </w:p>
    <w:p w:rsidR="00514D8B" w:rsidRDefault="00EE4096">
      <w:pPr>
        <w:spacing w:line="260" w:lineRule="exact"/>
        <w:ind w:left="567"/>
        <w:jc w:val="both"/>
        <w:rPr>
          <w:rFonts w:cs="Arial"/>
          <w:sz w:val="18"/>
          <w:szCs w:val="18"/>
        </w:rPr>
      </w:pPr>
      <w:bookmarkStart w:id="56" w:name="_Ref155579132"/>
      <w:r>
        <w:rPr>
          <w:rFonts w:cs="Arial"/>
          <w:sz w:val="18"/>
          <w:szCs w:val="18"/>
        </w:rPr>
        <w:t>Der Auftragnehmer ist verpflichtet, für die festgelegten Betriebsparameter die Verfügbarkeiten (DIN 31051) gemäß Vertragsdatenblatt (Anlage 1) zu erfüllen.</w:t>
      </w:r>
      <w:bookmarkEnd w:id="56"/>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keepNext/>
        <w:spacing w:line="260" w:lineRule="exact"/>
        <w:jc w:val="both"/>
        <w:rPr>
          <w:rFonts w:cs="Arial"/>
          <w:b/>
          <w:color w:val="00CCFF"/>
          <w:sz w:val="18"/>
          <w:szCs w:val="18"/>
        </w:rPr>
      </w:pPr>
      <w:bookmarkStart w:id="57" w:name="_Toc189878128"/>
      <w:r>
        <w:rPr>
          <w:rFonts w:cs="Arial"/>
          <w:b/>
          <w:color w:val="00CCFF"/>
          <w:sz w:val="18"/>
          <w:szCs w:val="18"/>
        </w:rPr>
        <w:t>9.</w:t>
      </w:r>
      <w:r>
        <w:rPr>
          <w:rFonts w:cs="Arial"/>
          <w:b/>
          <w:color w:val="00CCFF"/>
          <w:sz w:val="18"/>
          <w:szCs w:val="18"/>
        </w:rPr>
        <w:tab/>
        <w:t>Versicherung, Haftung und Schadenersatz</w:t>
      </w:r>
      <w:bookmarkEnd w:id="57"/>
    </w:p>
    <w:p w:rsidR="00514D8B" w:rsidRDefault="00514D8B">
      <w:pPr>
        <w:keepNext/>
        <w:spacing w:line="260" w:lineRule="exact"/>
        <w:ind w:left="567"/>
        <w:jc w:val="both"/>
        <w:rPr>
          <w:rFonts w:cs="Arial"/>
          <w:sz w:val="18"/>
          <w:szCs w:val="18"/>
        </w:rPr>
      </w:pPr>
    </w:p>
    <w:p w:rsidR="00514D8B" w:rsidRDefault="00EE4096">
      <w:pPr>
        <w:keepNext/>
        <w:spacing w:line="260" w:lineRule="exact"/>
        <w:jc w:val="both"/>
        <w:rPr>
          <w:rFonts w:cs="Arial"/>
          <w:b/>
          <w:color w:val="999999"/>
          <w:sz w:val="18"/>
          <w:szCs w:val="18"/>
        </w:rPr>
      </w:pPr>
      <w:r>
        <w:rPr>
          <w:rFonts w:cs="Arial"/>
          <w:b/>
          <w:color w:val="999999"/>
          <w:sz w:val="18"/>
          <w:szCs w:val="18"/>
        </w:rPr>
        <w:t>9.1.</w:t>
      </w:r>
      <w:r>
        <w:rPr>
          <w:rFonts w:cs="Arial"/>
          <w:b/>
          <w:color w:val="999999"/>
          <w:sz w:val="18"/>
          <w:szCs w:val="18"/>
        </w:rPr>
        <w:tab/>
        <w:t>Versicherungssummen</w:t>
      </w:r>
    </w:p>
    <w:p w:rsidR="00514D8B" w:rsidRDefault="00EE4096">
      <w:pPr>
        <w:keepNext/>
        <w:spacing w:line="260" w:lineRule="exact"/>
        <w:ind w:left="567"/>
        <w:jc w:val="both"/>
        <w:rPr>
          <w:rFonts w:cs="Arial"/>
          <w:sz w:val="18"/>
          <w:szCs w:val="18"/>
        </w:rPr>
      </w:pPr>
      <w:r>
        <w:rPr>
          <w:rFonts w:cs="Arial"/>
          <w:sz w:val="18"/>
          <w:szCs w:val="18"/>
        </w:rPr>
        <w:t>Der Auftragnehmer weist dem Auftraggeber vor Aufnahme der Energielieferung eine Betriebshaftpflich</w:t>
      </w:r>
      <w:r>
        <w:rPr>
          <w:rFonts w:cs="Arial"/>
          <w:sz w:val="18"/>
          <w:szCs w:val="18"/>
        </w:rPr>
        <w:t>t</w:t>
      </w:r>
      <w:r>
        <w:rPr>
          <w:rFonts w:cs="Arial"/>
          <w:sz w:val="18"/>
          <w:szCs w:val="18"/>
        </w:rPr>
        <w:t>versicherung nach, deren Deckungssumme je Schadenfall sich auf mindestens</w:t>
      </w:r>
    </w:p>
    <w:bookmarkStart w:id="58" w:name="Text108"/>
    <w:p w:rsidR="00514D8B" w:rsidRDefault="00EE4096">
      <w:pPr>
        <w:pStyle w:val="berschrift2-TextA"/>
        <w:keepNext/>
        <w:numPr>
          <w:ilvl w:val="0"/>
          <w:numId w:val="0"/>
        </w:numPr>
        <w:tabs>
          <w:tab w:val="clear" w:pos="1134"/>
          <w:tab w:val="left" w:pos="2127"/>
        </w:tabs>
        <w:spacing w:line="260" w:lineRule="exact"/>
        <w:ind w:left="567" w:firstLine="170"/>
        <w:rPr>
          <w:rFonts w:cs="Arial"/>
          <w:sz w:val="18"/>
          <w:szCs w:val="18"/>
          <w:highlight w:val="lightGray"/>
        </w:rPr>
      </w:pPr>
      <w:r>
        <w:rPr>
          <w:rFonts w:cs="Arial"/>
          <w:sz w:val="18"/>
          <w:szCs w:val="18"/>
          <w:highlight w:val="yellow"/>
          <w:shd w:val="clear" w:color="auto" w:fill="B3B3B3"/>
        </w:rPr>
        <w:fldChar w:fldCharType="begin">
          <w:ffData>
            <w:name w:val="Text108"/>
            <w:enabled/>
            <w:calcOnExit w:val="0"/>
            <w:textInput>
              <w:default w:val="2.000.000,-"/>
            </w:textInput>
          </w:ffData>
        </w:fldChar>
      </w:r>
      <w:r>
        <w:rPr>
          <w:rFonts w:cs="Arial"/>
          <w:sz w:val="18"/>
          <w:szCs w:val="18"/>
          <w:highlight w:val="yellow"/>
          <w:shd w:val="clear" w:color="auto" w:fill="B3B3B3"/>
        </w:rPr>
        <w:instrText xml:space="preserve"> FORMTEXT </w:instrText>
      </w:r>
      <w:r>
        <w:rPr>
          <w:rFonts w:cs="Arial"/>
          <w:sz w:val="18"/>
          <w:szCs w:val="18"/>
          <w:highlight w:val="yellow"/>
          <w:shd w:val="clear" w:color="auto" w:fill="B3B3B3"/>
        </w:rPr>
      </w:r>
      <w:r>
        <w:rPr>
          <w:rFonts w:cs="Arial"/>
          <w:sz w:val="18"/>
          <w:szCs w:val="18"/>
          <w:highlight w:val="yellow"/>
          <w:shd w:val="clear" w:color="auto" w:fill="B3B3B3"/>
        </w:rPr>
        <w:fldChar w:fldCharType="separate"/>
      </w:r>
      <w:r>
        <w:rPr>
          <w:rFonts w:cs="Arial"/>
          <w:noProof/>
          <w:sz w:val="18"/>
          <w:szCs w:val="18"/>
          <w:highlight w:val="yellow"/>
          <w:shd w:val="clear" w:color="auto" w:fill="B3B3B3"/>
        </w:rPr>
        <w:t>2.000.000,-</w:t>
      </w:r>
      <w:r>
        <w:rPr>
          <w:rFonts w:cs="Arial"/>
          <w:sz w:val="18"/>
          <w:szCs w:val="18"/>
          <w:highlight w:val="yellow"/>
          <w:shd w:val="clear" w:color="auto" w:fill="B3B3B3"/>
        </w:rPr>
        <w:fldChar w:fldCharType="end"/>
      </w:r>
      <w:bookmarkEnd w:id="58"/>
      <w:r>
        <w:rPr>
          <w:rFonts w:cs="Arial"/>
          <w:sz w:val="18"/>
          <w:szCs w:val="18"/>
        </w:rPr>
        <w:t xml:space="preserve"> € für Personenschäden und</w:t>
      </w:r>
    </w:p>
    <w:bookmarkStart w:id="59" w:name="Text109"/>
    <w:p w:rsidR="00514D8B" w:rsidRDefault="00EE4096" w:rsidP="00F70F6E">
      <w:pPr>
        <w:pStyle w:val="berschrift2-TextA"/>
        <w:keepNext/>
        <w:numPr>
          <w:ilvl w:val="0"/>
          <w:numId w:val="0"/>
        </w:numPr>
        <w:tabs>
          <w:tab w:val="clear" w:pos="1134"/>
          <w:tab w:val="left" w:pos="2127"/>
        </w:tabs>
        <w:spacing w:after="240" w:line="260" w:lineRule="exact"/>
        <w:ind w:left="567" w:firstLine="170"/>
        <w:rPr>
          <w:rFonts w:cs="Arial"/>
          <w:sz w:val="18"/>
          <w:szCs w:val="18"/>
        </w:rPr>
      </w:pPr>
      <w:r>
        <w:rPr>
          <w:rFonts w:cs="Arial"/>
          <w:sz w:val="18"/>
          <w:szCs w:val="18"/>
          <w:highlight w:val="yellow"/>
          <w:shd w:val="clear" w:color="auto" w:fill="B3B3B3"/>
        </w:rPr>
        <w:fldChar w:fldCharType="begin">
          <w:ffData>
            <w:name w:val="Text109"/>
            <w:enabled/>
            <w:calcOnExit w:val="0"/>
            <w:textInput>
              <w:default w:val="1.000.000;-"/>
            </w:textInput>
          </w:ffData>
        </w:fldChar>
      </w:r>
      <w:r>
        <w:rPr>
          <w:rFonts w:cs="Arial"/>
          <w:sz w:val="18"/>
          <w:szCs w:val="18"/>
          <w:highlight w:val="yellow"/>
          <w:shd w:val="clear" w:color="auto" w:fill="B3B3B3"/>
        </w:rPr>
        <w:instrText xml:space="preserve"> FORMTEXT </w:instrText>
      </w:r>
      <w:r>
        <w:rPr>
          <w:rFonts w:cs="Arial"/>
          <w:sz w:val="18"/>
          <w:szCs w:val="18"/>
          <w:highlight w:val="yellow"/>
          <w:shd w:val="clear" w:color="auto" w:fill="B3B3B3"/>
        </w:rPr>
      </w:r>
      <w:r>
        <w:rPr>
          <w:rFonts w:cs="Arial"/>
          <w:sz w:val="18"/>
          <w:szCs w:val="18"/>
          <w:highlight w:val="yellow"/>
          <w:shd w:val="clear" w:color="auto" w:fill="B3B3B3"/>
        </w:rPr>
        <w:fldChar w:fldCharType="separate"/>
      </w:r>
      <w:r>
        <w:rPr>
          <w:rFonts w:cs="Arial"/>
          <w:noProof/>
          <w:sz w:val="18"/>
          <w:szCs w:val="18"/>
          <w:highlight w:val="yellow"/>
          <w:shd w:val="clear" w:color="auto" w:fill="B3B3B3"/>
        </w:rPr>
        <w:t>1.000.000;-</w:t>
      </w:r>
      <w:r>
        <w:rPr>
          <w:rFonts w:cs="Arial"/>
          <w:sz w:val="18"/>
          <w:szCs w:val="18"/>
          <w:highlight w:val="yellow"/>
          <w:shd w:val="clear" w:color="auto" w:fill="B3B3B3"/>
        </w:rPr>
        <w:fldChar w:fldCharType="end"/>
      </w:r>
      <w:bookmarkEnd w:id="59"/>
      <w:r>
        <w:rPr>
          <w:rFonts w:cs="Arial"/>
          <w:sz w:val="18"/>
          <w:szCs w:val="18"/>
        </w:rPr>
        <w:t xml:space="preserve"> € für </w:t>
      </w:r>
      <w:r w:rsidR="00F70F6E">
        <w:rPr>
          <w:rFonts w:cs="Arial"/>
          <w:sz w:val="18"/>
          <w:szCs w:val="18"/>
        </w:rPr>
        <w:t>sonstige Schäden</w:t>
      </w:r>
    </w:p>
    <w:p w:rsidR="00514D8B" w:rsidRDefault="00EE4096">
      <w:pPr>
        <w:spacing w:line="260" w:lineRule="exact"/>
        <w:ind w:left="567"/>
        <w:jc w:val="both"/>
        <w:rPr>
          <w:sz w:val="18"/>
          <w:szCs w:val="18"/>
        </w:rPr>
      </w:pPr>
      <w:r>
        <w:rPr>
          <w:rFonts w:cs="Arial"/>
          <w:sz w:val="18"/>
          <w:szCs w:val="18"/>
        </w:rPr>
        <w:t>beläuft. Während der Laufzeit dieses Vertrages weist der Auftragnehmer auf Verlangen des Auftraggebers jederzeit das Bestehen dieser Versicherung erneut nach</w:t>
      </w:r>
      <w:r>
        <w:rPr>
          <w:sz w:val="18"/>
          <w:szCs w:val="18"/>
        </w:rPr>
        <w:t>.</w:t>
      </w:r>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9.2.</w:t>
      </w:r>
      <w:r>
        <w:rPr>
          <w:b/>
          <w:color w:val="999999"/>
          <w:sz w:val="18"/>
          <w:szCs w:val="18"/>
        </w:rPr>
        <w:tab/>
        <w:t>Verlust, Beschädigung, Untergang</w:t>
      </w:r>
    </w:p>
    <w:p w:rsidR="00514D8B" w:rsidRDefault="00EE4096">
      <w:pPr>
        <w:spacing w:line="260" w:lineRule="exact"/>
        <w:ind w:left="567"/>
        <w:jc w:val="both"/>
        <w:rPr>
          <w:sz w:val="18"/>
          <w:szCs w:val="18"/>
        </w:rPr>
      </w:pPr>
      <w:r>
        <w:rPr>
          <w:sz w:val="18"/>
          <w:szCs w:val="18"/>
        </w:rPr>
        <w:t>Der Auftragnehmer trägt die Gefahr für die von ihm errichtete Anlage und für deren Verlust, Beschädigung oder Untergang, soweit der Schaden nicht schuldhaft durch den Auftraggeber verursacht worden ist.</w:t>
      </w:r>
    </w:p>
    <w:p w:rsidR="00514D8B" w:rsidRDefault="00EE4096">
      <w:pPr>
        <w:spacing w:line="260" w:lineRule="exact"/>
        <w:ind w:left="567" w:firstLine="3"/>
        <w:jc w:val="both"/>
        <w:rPr>
          <w:spacing w:val="-2"/>
          <w:sz w:val="18"/>
          <w:szCs w:val="18"/>
        </w:rPr>
      </w:pPr>
      <w:r>
        <w:rPr>
          <w:sz w:val="18"/>
          <w:szCs w:val="18"/>
        </w:rPr>
        <w:t xml:space="preserve">Der Auftragnehmer ist verpflichtet, dafür die Anlage für die Vertragsdauer verkehrsüblich zu versichern. Der </w:t>
      </w:r>
      <w:r>
        <w:rPr>
          <w:spacing w:val="-2"/>
          <w:sz w:val="18"/>
          <w:szCs w:val="18"/>
        </w:rPr>
        <w:t>Auftragnehmer hat auf Verlangen des Auftraggebers die Anlagenversicherung in geeigneter Form nac</w:t>
      </w:r>
      <w:r>
        <w:rPr>
          <w:spacing w:val="-2"/>
          <w:sz w:val="18"/>
          <w:szCs w:val="18"/>
        </w:rPr>
        <w:t>h</w:t>
      </w:r>
      <w:r>
        <w:rPr>
          <w:spacing w:val="-2"/>
          <w:sz w:val="18"/>
          <w:szCs w:val="18"/>
        </w:rPr>
        <w:t>zuweisen.</w:t>
      </w:r>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9.3.</w:t>
      </w:r>
      <w:r>
        <w:rPr>
          <w:b/>
          <w:color w:val="999999"/>
          <w:sz w:val="18"/>
          <w:szCs w:val="18"/>
        </w:rPr>
        <w:tab/>
        <w:t>Haftung bei verzögertem Lieferbeginn / Versorgungsstörung</w:t>
      </w:r>
    </w:p>
    <w:p w:rsidR="00514D8B" w:rsidRDefault="00EE4096">
      <w:pPr>
        <w:spacing w:line="260" w:lineRule="exact"/>
        <w:ind w:left="567"/>
        <w:jc w:val="both"/>
        <w:rPr>
          <w:sz w:val="18"/>
          <w:szCs w:val="18"/>
        </w:rPr>
      </w:pPr>
      <w:bookmarkStart w:id="60" w:name="_Ref445477658"/>
      <w:r>
        <w:rPr>
          <w:sz w:val="18"/>
          <w:szCs w:val="18"/>
        </w:rPr>
        <w:t>Für Schäden, die der Auftraggeber durch eine aus dem Verantwortungsbereich des Auftragnehmers he</w:t>
      </w:r>
      <w:r>
        <w:rPr>
          <w:sz w:val="18"/>
          <w:szCs w:val="18"/>
        </w:rPr>
        <w:t>r</w:t>
      </w:r>
      <w:r>
        <w:rPr>
          <w:sz w:val="18"/>
          <w:szCs w:val="18"/>
        </w:rPr>
        <w:t>rührende verspätete Aufnahme, Unterbrechung oder Einschränkung der Energieversorgung erleidet, haftet der Auftragnehmer ohne die Beschränkungen des § 6 AVBFernwärmeV (Anlage 4) aus Vertrag oder une</w:t>
      </w:r>
      <w:r>
        <w:rPr>
          <w:sz w:val="18"/>
          <w:szCs w:val="18"/>
        </w:rPr>
        <w:t>r</w:t>
      </w:r>
      <w:r>
        <w:rPr>
          <w:sz w:val="18"/>
          <w:szCs w:val="18"/>
        </w:rPr>
        <w:t>laubter Handlung. Die Schadensminderungspflichten des Auftraggebers bleiben hiervon unberührt.</w:t>
      </w:r>
      <w:bookmarkEnd w:id="60"/>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9.4.</w:t>
      </w:r>
      <w:r>
        <w:rPr>
          <w:b/>
          <w:color w:val="999999"/>
          <w:sz w:val="18"/>
          <w:szCs w:val="18"/>
        </w:rPr>
        <w:tab/>
        <w:t>Haftung durch Schlechtleistung von Vorlieferanten</w:t>
      </w:r>
    </w:p>
    <w:p w:rsidR="00514D8B" w:rsidRDefault="00EE4096">
      <w:pPr>
        <w:spacing w:line="260" w:lineRule="exact"/>
        <w:ind w:left="567"/>
        <w:jc w:val="both"/>
        <w:rPr>
          <w:sz w:val="18"/>
          <w:szCs w:val="18"/>
        </w:rPr>
      </w:pPr>
      <w:bookmarkStart w:id="61" w:name="_Ref248125859"/>
      <w:r>
        <w:rPr>
          <w:sz w:val="18"/>
          <w:szCs w:val="18"/>
        </w:rPr>
        <w:t>Für Schäden, die nicht aus dem Verantwortungsbereich des Auftragnehmers, sondern dessen Vorliefera</w:t>
      </w:r>
      <w:r>
        <w:rPr>
          <w:sz w:val="18"/>
          <w:szCs w:val="18"/>
        </w:rPr>
        <w:t>n</w:t>
      </w:r>
      <w:r>
        <w:rPr>
          <w:sz w:val="18"/>
          <w:szCs w:val="18"/>
        </w:rPr>
        <w:t>ten für Strom und Gas herrühren, gelten §18 NDAV bzw. §18 NAV im Verhältnis der Geschädigten zum Auftragnehmer. Bei einer Befeuerung der Energieerzeugungsanlage mit nicht leitungsgebundenen Ene</w:t>
      </w:r>
      <w:r>
        <w:rPr>
          <w:sz w:val="18"/>
          <w:szCs w:val="18"/>
        </w:rPr>
        <w:t>r</w:t>
      </w:r>
      <w:r>
        <w:rPr>
          <w:sz w:val="18"/>
          <w:szCs w:val="18"/>
        </w:rPr>
        <w:t>gieträgern gelten die gesetzlichen Bestimmungen und die üblichen technischen Regelungen.</w:t>
      </w:r>
      <w:bookmarkEnd w:id="61"/>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b/>
          <w:color w:val="00CCFF"/>
          <w:sz w:val="18"/>
          <w:szCs w:val="18"/>
        </w:rPr>
      </w:pPr>
      <w:bookmarkStart w:id="62" w:name="_Toc189878129"/>
      <w:bookmarkStart w:id="63" w:name="_Ref248125375"/>
      <w:r>
        <w:rPr>
          <w:b/>
          <w:color w:val="00CCFF"/>
          <w:sz w:val="18"/>
          <w:szCs w:val="18"/>
        </w:rPr>
        <w:t>10.</w:t>
      </w:r>
      <w:r>
        <w:rPr>
          <w:b/>
          <w:color w:val="00CCFF"/>
          <w:sz w:val="18"/>
          <w:szCs w:val="18"/>
        </w:rPr>
        <w:tab/>
        <w:t>Zutrittsrechte, Eingriffsrechte in die Anlage des Auftragnehmers</w:t>
      </w:r>
      <w:bookmarkEnd w:id="62"/>
      <w:bookmarkEnd w:id="63"/>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10.1.</w:t>
      </w:r>
      <w:r>
        <w:rPr>
          <w:b/>
          <w:color w:val="999999"/>
          <w:sz w:val="18"/>
          <w:szCs w:val="18"/>
        </w:rPr>
        <w:tab/>
        <w:t>Zutrittsrechte des Auftragnehmers</w:t>
      </w:r>
    </w:p>
    <w:p w:rsidR="00514D8B" w:rsidRDefault="00EE4096">
      <w:pPr>
        <w:spacing w:line="260" w:lineRule="exact"/>
        <w:ind w:left="567"/>
        <w:jc w:val="both"/>
        <w:rPr>
          <w:rFonts w:cs="Arial"/>
          <w:sz w:val="18"/>
          <w:szCs w:val="18"/>
        </w:rPr>
      </w:pPr>
      <w:r>
        <w:rPr>
          <w:sz w:val="18"/>
          <w:szCs w:val="18"/>
        </w:rPr>
        <w:t>Der Auftragnehmer hat ein jederzeitiges Zutrittsrecht entsprechend § 16 AVBFernwärmeV (Anlage 4) zu dem Grundstück und den Gebäuden des Auftraggebers und zu sämtlichen Teilen der Anlage, soweit dies für die Vertragsdurchführung notwendig ist.</w:t>
      </w:r>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10.2.</w:t>
      </w:r>
      <w:r>
        <w:rPr>
          <w:b/>
          <w:color w:val="999999"/>
          <w:sz w:val="18"/>
          <w:szCs w:val="18"/>
        </w:rPr>
        <w:tab/>
        <w:t>Zutrittsrechte des Auftraggebers</w:t>
      </w:r>
    </w:p>
    <w:p w:rsidR="00514D8B" w:rsidRDefault="00EE4096">
      <w:pPr>
        <w:spacing w:line="260" w:lineRule="exact"/>
        <w:ind w:left="567"/>
        <w:jc w:val="both"/>
        <w:rPr>
          <w:sz w:val="18"/>
          <w:szCs w:val="18"/>
        </w:rPr>
      </w:pPr>
      <w:bookmarkStart w:id="64" w:name="_Ref435457102"/>
      <w:r>
        <w:rPr>
          <w:sz w:val="18"/>
          <w:szCs w:val="18"/>
        </w:rPr>
        <w:t>Soweit sich die Anlage des Auftragnehmers auf dem Grundstück / in den Räumlichkeiten des Auftragg</w:t>
      </w:r>
      <w:r>
        <w:rPr>
          <w:sz w:val="18"/>
          <w:szCs w:val="18"/>
        </w:rPr>
        <w:t>e</w:t>
      </w:r>
      <w:r>
        <w:rPr>
          <w:sz w:val="18"/>
          <w:szCs w:val="18"/>
        </w:rPr>
        <w:t>bers befindet, wird der Auftragnehmer dem Auftraggeber die Möglichkeit verschaffen, im Notfall, bei schweren Versorgungsstörungen, bei schweren Störungen der vertraglichen Beziehungen oder in den in diesem Vertrag vorgesehenen Fällen an alle für die Betretung der vom Auftragnehmer genutzten Räu</w:t>
      </w:r>
      <w:r>
        <w:rPr>
          <w:sz w:val="18"/>
          <w:szCs w:val="18"/>
        </w:rPr>
        <w:t>m</w:t>
      </w:r>
      <w:r>
        <w:rPr>
          <w:sz w:val="18"/>
          <w:szCs w:val="18"/>
        </w:rPr>
        <w:t>lichkeiten notwendigen Schlüssel zu gelangen und den Zutritt zu gewähren.</w:t>
      </w:r>
      <w:bookmarkEnd w:id="64"/>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b/>
          <w:color w:val="00CCFF"/>
          <w:sz w:val="18"/>
          <w:szCs w:val="18"/>
        </w:rPr>
      </w:pPr>
      <w:r>
        <w:rPr>
          <w:sz w:val="18"/>
          <w:szCs w:val="18"/>
        </w:rPr>
        <w:br w:type="page"/>
      </w:r>
      <w:r>
        <w:rPr>
          <w:b/>
          <w:color w:val="00CCFF"/>
          <w:sz w:val="18"/>
          <w:szCs w:val="18"/>
        </w:rPr>
        <w:t>11.</w:t>
      </w:r>
      <w:r>
        <w:rPr>
          <w:b/>
          <w:color w:val="00CCFF"/>
          <w:sz w:val="18"/>
          <w:szCs w:val="18"/>
        </w:rPr>
        <w:tab/>
        <w:t>Schiedsstelle</w:t>
      </w:r>
    </w:p>
    <w:p w:rsidR="00514D8B" w:rsidRDefault="00EE4096">
      <w:pPr>
        <w:spacing w:line="260" w:lineRule="exact"/>
        <w:ind w:left="567"/>
        <w:jc w:val="both"/>
        <w:rPr>
          <w:rFonts w:cs="Arial"/>
          <w:sz w:val="18"/>
          <w:szCs w:val="18"/>
        </w:rPr>
      </w:pPr>
      <w:r>
        <w:rPr>
          <w:rFonts w:cs="Arial"/>
          <w:sz w:val="18"/>
          <w:szCs w:val="18"/>
        </w:rPr>
        <w:t>Im Falle der Nichteinigung über den Inhalt oder eine von einer Vertragspartei gewünschte Anpassung des vorliegenden Vertrages hat jede Partei Anspruch auf Einschaltung eines externen Mediators. Wünscht e</w:t>
      </w:r>
      <w:r>
        <w:rPr>
          <w:rFonts w:cs="Arial"/>
          <w:sz w:val="18"/>
          <w:szCs w:val="18"/>
        </w:rPr>
        <w:t>i</w:t>
      </w:r>
      <w:r>
        <w:rPr>
          <w:rFonts w:cs="Arial"/>
          <w:sz w:val="18"/>
          <w:szCs w:val="18"/>
        </w:rPr>
        <w:t>ne Vertragspartei die Einschaltung eines Mediators, so hat die jeweilige Vertragspartei dies der anderen Vertragspartei schriftlich mitzuteilen. Auftraggeber und Auftragnehmer einigen sich in einem Zeitraum von einem Monat nach Zugang der Mitteilung auf einen Mediator. Die Kosten des Mediators werden zu gle</w:t>
      </w:r>
      <w:r>
        <w:rPr>
          <w:rFonts w:cs="Arial"/>
          <w:sz w:val="18"/>
          <w:szCs w:val="18"/>
        </w:rPr>
        <w:t>i</w:t>
      </w:r>
      <w:r>
        <w:rPr>
          <w:rFonts w:cs="Arial"/>
          <w:sz w:val="18"/>
          <w:szCs w:val="18"/>
        </w:rPr>
        <w:t>chen Teilen zwischen den Vertragsparteien aufgeteilt. Sollte eine Verständigung auf einen Mediator nicht zustande kommen, so ist jede Vertragspartei berechtigt, den Präsidenten der örtlich zuständigen Industrie- und Handelskammer um Benennung zu ersuchen. Kann eine Einigung trotz Einschaltung des Mediators nicht innerhalb von drei Monaten erzielt werden, steht beiden Vertragsparteien der Rechtsweg zu den o</w:t>
      </w:r>
      <w:r>
        <w:rPr>
          <w:rFonts w:cs="Arial"/>
          <w:sz w:val="18"/>
          <w:szCs w:val="18"/>
        </w:rPr>
        <w:t>r</w:t>
      </w:r>
      <w:r>
        <w:rPr>
          <w:rFonts w:cs="Arial"/>
          <w:sz w:val="18"/>
          <w:szCs w:val="18"/>
        </w:rPr>
        <w:t>dentlichen Gerichten offen.</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b/>
          <w:color w:val="00CCFF"/>
          <w:sz w:val="18"/>
          <w:szCs w:val="18"/>
        </w:rPr>
      </w:pPr>
      <w:bookmarkStart w:id="65" w:name="_Ref59335198"/>
      <w:bookmarkStart w:id="66" w:name="_Toc189878130"/>
      <w:r>
        <w:rPr>
          <w:b/>
          <w:color w:val="00CCFF"/>
          <w:sz w:val="18"/>
          <w:szCs w:val="18"/>
        </w:rPr>
        <w:t>12.</w:t>
      </w:r>
      <w:r>
        <w:rPr>
          <w:b/>
          <w:color w:val="00CCFF"/>
          <w:sz w:val="18"/>
          <w:szCs w:val="18"/>
        </w:rPr>
        <w:tab/>
        <w:t>Wirtschaftsklausel und Kündigungsrechte</w:t>
      </w:r>
      <w:bookmarkEnd w:id="65"/>
      <w:bookmarkEnd w:id="66"/>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12.1.</w:t>
      </w:r>
      <w:r>
        <w:rPr>
          <w:b/>
          <w:color w:val="999999"/>
          <w:sz w:val="18"/>
          <w:szCs w:val="18"/>
        </w:rPr>
        <w:tab/>
        <w:t>Kündigung aus unbilliger Härte</w:t>
      </w:r>
    </w:p>
    <w:p w:rsidR="00514D8B" w:rsidRDefault="00EE4096">
      <w:pPr>
        <w:spacing w:line="260" w:lineRule="exact"/>
        <w:ind w:left="567"/>
        <w:jc w:val="both"/>
        <w:rPr>
          <w:sz w:val="18"/>
          <w:szCs w:val="18"/>
        </w:rPr>
      </w:pPr>
      <w:bookmarkStart w:id="67" w:name="_Ref435466619"/>
      <w:bookmarkStart w:id="68" w:name="_Ref150847710"/>
      <w:r>
        <w:rPr>
          <w:sz w:val="18"/>
          <w:szCs w:val="18"/>
        </w:rPr>
        <w:t>Sollten sich in Zukunft die wirtschaftlichen und/oder technischen Bedingungen und Verhältnisse, durch welche die Vereinbarungen dieses Vertrages begründet sind, so wesentlich ändern, dass das Festhalten an diesem Vertrag und den darin festgelegten Preisen für einen der Vertragspartner eine unbillige Härte bedeuten würde, kann dieser eine entsprechende Änderung dieses Vertrages verlangen. Die Gründe hie</w:t>
      </w:r>
      <w:r>
        <w:rPr>
          <w:sz w:val="18"/>
          <w:szCs w:val="18"/>
        </w:rPr>
        <w:t>r</w:t>
      </w:r>
      <w:r>
        <w:rPr>
          <w:sz w:val="18"/>
          <w:szCs w:val="18"/>
        </w:rPr>
        <w:t>für sind schriftlich und nachvollziehbar unter Beifügung aller notwendigen Unterlagen darzulegen. Kommt es innerhalb von drei Monaten nach einem Anpassungsverlangen im Sinne von Satz 1 nicht zu einer Ein</w:t>
      </w:r>
      <w:r>
        <w:rPr>
          <w:sz w:val="18"/>
          <w:szCs w:val="18"/>
        </w:rPr>
        <w:t>i</w:t>
      </w:r>
      <w:r>
        <w:rPr>
          <w:sz w:val="18"/>
          <w:szCs w:val="18"/>
        </w:rPr>
        <w:t>gung, so hat nach erfolglosem Einschalten der Schiedsstelle jeder Vertragspartner das Recht, den Vertrag aus wichtigem Grund mit einer Frist von sechs Monaten zu kündigen</w:t>
      </w:r>
      <w:bookmarkEnd w:id="67"/>
      <w:r>
        <w:rPr>
          <w:sz w:val="18"/>
          <w:szCs w:val="18"/>
        </w:rPr>
        <w:t>.</w:t>
      </w:r>
      <w:bookmarkEnd w:id="68"/>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12.2.</w:t>
      </w:r>
      <w:r>
        <w:rPr>
          <w:b/>
          <w:color w:val="999999"/>
          <w:sz w:val="18"/>
          <w:szCs w:val="18"/>
        </w:rPr>
        <w:tab/>
        <w:t>Kündigung aus wichtigem Grund</w:t>
      </w:r>
    </w:p>
    <w:p w:rsidR="00514D8B" w:rsidRDefault="00EE4096">
      <w:pPr>
        <w:spacing w:line="260" w:lineRule="exact"/>
        <w:ind w:left="567"/>
        <w:jc w:val="both"/>
        <w:rPr>
          <w:sz w:val="18"/>
          <w:szCs w:val="18"/>
        </w:rPr>
      </w:pPr>
      <w:bookmarkStart w:id="69" w:name="_Ref435530893"/>
      <w:r>
        <w:rPr>
          <w:sz w:val="18"/>
          <w:szCs w:val="18"/>
        </w:rPr>
        <w:t>Neben der Kündigung aus unbilliger Härte ist eine Kündigung dieses Vertrages durch den Auftraggeber nur aus wichtigem Grund zulässig. Diese Kündigung kann fristlos erfolgen, insbesondere wenn:</w:t>
      </w:r>
    </w:p>
    <w:p w:rsidR="00514D8B" w:rsidRDefault="00EE4096">
      <w:pPr>
        <w:numPr>
          <w:ilvl w:val="0"/>
          <w:numId w:val="33"/>
        </w:numPr>
        <w:spacing w:line="260" w:lineRule="exact"/>
        <w:jc w:val="both"/>
        <w:rPr>
          <w:sz w:val="18"/>
          <w:szCs w:val="18"/>
        </w:rPr>
      </w:pPr>
      <w:r>
        <w:rPr>
          <w:sz w:val="18"/>
          <w:szCs w:val="18"/>
        </w:rPr>
        <w:t>der Auftragnehmer die Versorgung aus Gründen, die aus seinem Verantwortungsbereich herrühren, einstellt und trotz schriftlicher Aufforderung zur Wiederaufnahme nicht binnen einer Woche nach Z</w:t>
      </w:r>
      <w:r>
        <w:rPr>
          <w:sz w:val="18"/>
          <w:szCs w:val="18"/>
        </w:rPr>
        <w:t>u</w:t>
      </w:r>
      <w:r>
        <w:rPr>
          <w:sz w:val="18"/>
          <w:szCs w:val="18"/>
        </w:rPr>
        <w:t>gang der Aufforderung wieder aufnimmt; die §§ 314, 323 Abs. 2 BGB finden Anwendung oder</w:t>
      </w:r>
      <w:bookmarkEnd w:id="69"/>
    </w:p>
    <w:p w:rsidR="00514D8B" w:rsidRDefault="00EE4096">
      <w:pPr>
        <w:numPr>
          <w:ilvl w:val="0"/>
          <w:numId w:val="33"/>
        </w:numPr>
        <w:spacing w:line="260" w:lineRule="exact"/>
        <w:jc w:val="both"/>
        <w:rPr>
          <w:sz w:val="18"/>
          <w:szCs w:val="18"/>
        </w:rPr>
      </w:pPr>
      <w:r>
        <w:rPr>
          <w:sz w:val="18"/>
          <w:szCs w:val="18"/>
        </w:rPr>
        <w:t>der Auftragnehmer die Nutzungsflächen nicht für die Errichtung und den Betrieb einer Energieverso</w:t>
      </w:r>
      <w:r>
        <w:rPr>
          <w:sz w:val="18"/>
          <w:szCs w:val="18"/>
        </w:rPr>
        <w:t>r</w:t>
      </w:r>
      <w:r>
        <w:rPr>
          <w:sz w:val="18"/>
          <w:szCs w:val="18"/>
        </w:rPr>
        <w:t xml:space="preserve">gungsanlage </w:t>
      </w:r>
      <w:r>
        <w:rPr>
          <w:rFonts w:cs="Arial"/>
          <w:sz w:val="18"/>
          <w:szCs w:val="18"/>
        </w:rPr>
        <w:t>entsprechend</w:t>
      </w:r>
      <w:r>
        <w:rPr>
          <w:sz w:val="18"/>
          <w:szCs w:val="18"/>
        </w:rPr>
        <w:t xml:space="preserve"> den vertraglichen Vereinbarungen nutzt oder</w:t>
      </w:r>
    </w:p>
    <w:p w:rsidR="00514D8B" w:rsidRDefault="00EE4096">
      <w:pPr>
        <w:numPr>
          <w:ilvl w:val="0"/>
          <w:numId w:val="33"/>
        </w:numPr>
        <w:spacing w:line="260" w:lineRule="exact"/>
        <w:jc w:val="both"/>
        <w:rPr>
          <w:sz w:val="18"/>
          <w:szCs w:val="18"/>
        </w:rPr>
      </w:pPr>
      <w:r>
        <w:rPr>
          <w:sz w:val="18"/>
          <w:szCs w:val="18"/>
        </w:rPr>
        <w:t xml:space="preserve">der Auftragnehmer in </w:t>
      </w:r>
      <w:r>
        <w:rPr>
          <w:rFonts w:cs="Arial"/>
          <w:sz w:val="18"/>
          <w:szCs w:val="18"/>
        </w:rPr>
        <w:t>Vermögensverfall</w:t>
      </w:r>
      <w:r>
        <w:rPr>
          <w:sz w:val="18"/>
          <w:szCs w:val="18"/>
        </w:rPr>
        <w:t xml:space="preserve"> gerät, insbesondere wenn über das Vermögen des Auftra</w:t>
      </w:r>
      <w:r>
        <w:rPr>
          <w:sz w:val="18"/>
          <w:szCs w:val="18"/>
        </w:rPr>
        <w:t>g</w:t>
      </w:r>
      <w:r>
        <w:rPr>
          <w:sz w:val="18"/>
          <w:szCs w:val="18"/>
        </w:rPr>
        <w:t>nehmers/Pächters das Verfahren nach der Insolvenzordnung eröffnet oder die Eröffnung mangels Masse abgelehnt wird oder</w:t>
      </w:r>
    </w:p>
    <w:p w:rsidR="00514D8B" w:rsidRDefault="00EE4096">
      <w:pPr>
        <w:numPr>
          <w:ilvl w:val="0"/>
          <w:numId w:val="33"/>
        </w:numPr>
        <w:spacing w:line="260" w:lineRule="exact"/>
        <w:jc w:val="both"/>
        <w:rPr>
          <w:b/>
          <w:color w:val="999999"/>
          <w:sz w:val="18"/>
          <w:szCs w:val="18"/>
        </w:rPr>
      </w:pPr>
      <w:r>
        <w:rPr>
          <w:sz w:val="18"/>
          <w:szCs w:val="18"/>
        </w:rPr>
        <w:t xml:space="preserve">der Auftragnehmer mit der Zahlung des Pachtzinses mindestens in Höhe von zwei Jahresraten im </w:t>
      </w:r>
      <w:r>
        <w:rPr>
          <w:rFonts w:cs="Arial"/>
          <w:sz w:val="18"/>
          <w:szCs w:val="18"/>
        </w:rPr>
        <w:t>Rückstand</w:t>
      </w:r>
      <w:r>
        <w:rPr>
          <w:sz w:val="18"/>
          <w:szCs w:val="18"/>
        </w:rPr>
        <w:t xml:space="preserve"> ist.</w:t>
      </w:r>
    </w:p>
    <w:p w:rsidR="00514D8B" w:rsidRDefault="00514D8B">
      <w:pPr>
        <w:spacing w:line="260" w:lineRule="exact"/>
        <w:ind w:left="567"/>
        <w:jc w:val="both"/>
        <w:rPr>
          <w:b/>
          <w:color w:val="999999"/>
          <w:sz w:val="18"/>
          <w:szCs w:val="18"/>
        </w:rPr>
      </w:pPr>
    </w:p>
    <w:p w:rsidR="00514D8B" w:rsidRDefault="00EE4096">
      <w:pPr>
        <w:spacing w:line="260" w:lineRule="exact"/>
        <w:jc w:val="both"/>
        <w:rPr>
          <w:b/>
          <w:color w:val="999999"/>
          <w:sz w:val="18"/>
          <w:szCs w:val="18"/>
        </w:rPr>
      </w:pPr>
      <w:r>
        <w:rPr>
          <w:b/>
          <w:color w:val="999999"/>
          <w:sz w:val="18"/>
          <w:szCs w:val="18"/>
        </w:rPr>
        <w:t>12.3.</w:t>
      </w:r>
      <w:r>
        <w:rPr>
          <w:b/>
          <w:color w:val="999999"/>
          <w:sz w:val="18"/>
          <w:szCs w:val="18"/>
        </w:rPr>
        <w:tab/>
        <w:t>Kündigung durch den Auftragnehmer</w:t>
      </w:r>
    </w:p>
    <w:p w:rsidR="00514D8B" w:rsidRDefault="00EE4096">
      <w:pPr>
        <w:spacing w:line="260" w:lineRule="exact"/>
        <w:ind w:left="567"/>
        <w:jc w:val="both"/>
        <w:rPr>
          <w:sz w:val="18"/>
          <w:szCs w:val="18"/>
        </w:rPr>
      </w:pPr>
      <w:bookmarkStart w:id="70" w:name="_Ref442700057"/>
      <w:r>
        <w:rPr>
          <w:sz w:val="18"/>
          <w:szCs w:val="18"/>
        </w:rPr>
        <w:t>Für eine Kündigung durch den Auftragnehmer gelten die Regelungen der AVBFernwärmeV (Anlage 4).</w:t>
      </w:r>
      <w:bookmarkEnd w:id="70"/>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b/>
          <w:color w:val="00CCFF"/>
          <w:sz w:val="18"/>
          <w:szCs w:val="18"/>
        </w:rPr>
      </w:pPr>
      <w:bookmarkStart w:id="71" w:name="_Ref150847412"/>
      <w:bookmarkStart w:id="72" w:name="_Ref150847414"/>
      <w:bookmarkStart w:id="73" w:name="_Toc189878131"/>
      <w:r>
        <w:rPr>
          <w:b/>
          <w:color w:val="00CCFF"/>
          <w:sz w:val="18"/>
          <w:szCs w:val="18"/>
        </w:rPr>
        <w:t>13.</w:t>
      </w:r>
      <w:r>
        <w:rPr>
          <w:b/>
          <w:color w:val="00CCFF"/>
          <w:sz w:val="18"/>
          <w:szCs w:val="18"/>
        </w:rPr>
        <w:tab/>
        <w:t>Rechtsnachfolge</w:t>
      </w:r>
      <w:bookmarkEnd w:id="71"/>
      <w:bookmarkEnd w:id="72"/>
      <w:bookmarkEnd w:id="73"/>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13.1.</w:t>
      </w:r>
      <w:r>
        <w:rPr>
          <w:b/>
          <w:color w:val="999999"/>
          <w:sz w:val="18"/>
          <w:szCs w:val="18"/>
        </w:rPr>
        <w:tab/>
        <w:t>Übertragung der Rechte und Pflichten auf Dritte</w:t>
      </w:r>
    </w:p>
    <w:p w:rsidR="00514D8B" w:rsidRDefault="00EE4096">
      <w:pPr>
        <w:spacing w:line="260" w:lineRule="exact"/>
        <w:ind w:left="567"/>
        <w:jc w:val="both"/>
        <w:rPr>
          <w:sz w:val="18"/>
          <w:szCs w:val="18"/>
        </w:rPr>
      </w:pPr>
      <w:bookmarkStart w:id="74" w:name="_Ref150847769"/>
      <w:r>
        <w:rPr>
          <w:sz w:val="18"/>
          <w:szCs w:val="18"/>
        </w:rPr>
        <w:t>Jeder Vertragspartner ist berechtigt, mit vorheriger Zustimmung des anderen Vertragspartners seine Rechte und Pflichten aus diesem Vertrag ganz oder teilweise auf Dritte zu übertragen. Er hat in diesem Fall dafür Sorge zu tragen, dass der Rechtsnachfolger verpflichtet wird, die übernommenen Rechte und Pflichten auch einem weiteren Rechtsnachfolger nur mit vorheriger Zustimmung des anderen Vertrag</w:t>
      </w:r>
      <w:r>
        <w:rPr>
          <w:sz w:val="18"/>
          <w:szCs w:val="18"/>
        </w:rPr>
        <w:t>s</w:t>
      </w:r>
      <w:r>
        <w:rPr>
          <w:sz w:val="18"/>
          <w:szCs w:val="18"/>
        </w:rPr>
        <w:t>partners aufzuerlegen. Verstößt der ausscheidende Vertragspartner gegen diese Verpflichtungen, so ist die andere Vertragspartei zur fristlosen Kündigung und zur Geltendmachung von Schadenersatz berec</w:t>
      </w:r>
      <w:r>
        <w:rPr>
          <w:sz w:val="18"/>
          <w:szCs w:val="18"/>
        </w:rPr>
        <w:t>h</w:t>
      </w:r>
      <w:r>
        <w:rPr>
          <w:sz w:val="18"/>
          <w:szCs w:val="18"/>
        </w:rPr>
        <w:t>tigt.</w:t>
      </w:r>
      <w:bookmarkEnd w:id="74"/>
    </w:p>
    <w:p w:rsidR="00514D8B" w:rsidRDefault="00514D8B">
      <w:pPr>
        <w:spacing w:line="260" w:lineRule="exact"/>
        <w:ind w:left="567"/>
        <w:jc w:val="both"/>
        <w:rPr>
          <w:rFonts w:cs="Arial"/>
          <w:sz w:val="18"/>
          <w:szCs w:val="18"/>
        </w:rPr>
      </w:pPr>
    </w:p>
    <w:p w:rsidR="00514D8B" w:rsidRDefault="00EE4096">
      <w:pPr>
        <w:keepNext/>
        <w:spacing w:line="260" w:lineRule="exact"/>
        <w:jc w:val="both"/>
        <w:rPr>
          <w:b/>
          <w:color w:val="999999"/>
          <w:sz w:val="18"/>
          <w:szCs w:val="18"/>
        </w:rPr>
      </w:pPr>
      <w:r>
        <w:rPr>
          <w:b/>
          <w:color w:val="999999"/>
          <w:sz w:val="18"/>
          <w:szCs w:val="18"/>
        </w:rPr>
        <w:t>13.2.</w:t>
      </w:r>
      <w:r>
        <w:rPr>
          <w:b/>
          <w:color w:val="999999"/>
          <w:sz w:val="18"/>
          <w:szCs w:val="18"/>
        </w:rPr>
        <w:tab/>
        <w:t>Haftungsregelungen bei Übertragung auf Dritte</w:t>
      </w:r>
    </w:p>
    <w:p w:rsidR="00514D8B" w:rsidRDefault="00EE4096">
      <w:pPr>
        <w:keepNext/>
        <w:tabs>
          <w:tab w:val="left" w:pos="540"/>
        </w:tabs>
        <w:spacing w:line="260" w:lineRule="exact"/>
        <w:ind w:left="567"/>
        <w:jc w:val="both"/>
        <w:rPr>
          <w:sz w:val="18"/>
          <w:szCs w:val="18"/>
        </w:rPr>
      </w:pPr>
      <w:bookmarkStart w:id="75" w:name="_Ref59441198"/>
      <w:r>
        <w:rPr>
          <w:sz w:val="18"/>
          <w:szCs w:val="18"/>
        </w:rPr>
        <w:t>Der ganz oder teilweise ausscheidende Vertragspartner haftet für die Erfüllung der vertraglichen Pflichten weiter, bis der Rechtsnachfolger der anderen Vertragspartei gegenüber die uneingeschränkte Übernahme der Vertragsverpflichtungen schriftlich bestätigt und die andere Vertragspartei hierin schriftlich eingewilligt hat.</w:t>
      </w:r>
      <w:bookmarkEnd w:id="75"/>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13.3.</w:t>
      </w:r>
      <w:r>
        <w:rPr>
          <w:b/>
          <w:color w:val="999999"/>
          <w:sz w:val="18"/>
          <w:szCs w:val="18"/>
        </w:rPr>
        <w:tab/>
        <w:t>Sicherheiten bei Übertragung auf Dritte</w:t>
      </w:r>
    </w:p>
    <w:p w:rsidR="00514D8B" w:rsidRDefault="00EE4096">
      <w:pPr>
        <w:spacing w:line="260" w:lineRule="exact"/>
        <w:ind w:left="567"/>
        <w:jc w:val="both"/>
        <w:rPr>
          <w:sz w:val="18"/>
          <w:szCs w:val="18"/>
        </w:rPr>
      </w:pPr>
      <w:r>
        <w:rPr>
          <w:sz w:val="18"/>
          <w:szCs w:val="18"/>
        </w:rPr>
        <w:t>Der jeweils andere Vertragspartner ist berechtigt, die Entlassung des ausscheidenden Vertragspartners aus den Vertragsverpflichtungen, insbesondere die Einwilligung zur ganzen oder teilweisen Ausscheidung des Vertragspartners, von der Stellung angemessener Sicherheiten durch dessen Rechtsnachfolger a</w:t>
      </w:r>
      <w:r>
        <w:rPr>
          <w:sz w:val="18"/>
          <w:szCs w:val="18"/>
        </w:rPr>
        <w:t>b</w:t>
      </w:r>
      <w:r>
        <w:rPr>
          <w:sz w:val="18"/>
          <w:szCs w:val="18"/>
        </w:rPr>
        <w:t>hängig zu machen.</w:t>
      </w: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b/>
          <w:color w:val="00CCFF"/>
          <w:sz w:val="18"/>
          <w:szCs w:val="18"/>
        </w:rPr>
      </w:pPr>
      <w:bookmarkStart w:id="76" w:name="_Toc189878132"/>
      <w:r>
        <w:rPr>
          <w:b/>
          <w:color w:val="00CCFF"/>
          <w:sz w:val="18"/>
          <w:szCs w:val="18"/>
        </w:rPr>
        <w:t>14.</w:t>
      </w:r>
      <w:r>
        <w:rPr>
          <w:b/>
          <w:color w:val="00CCFF"/>
          <w:sz w:val="18"/>
          <w:szCs w:val="18"/>
        </w:rPr>
        <w:tab/>
        <w:t>Schlussbestimmungen</w:t>
      </w:r>
      <w:bookmarkEnd w:id="76"/>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14.1.</w:t>
      </w:r>
      <w:r>
        <w:rPr>
          <w:b/>
          <w:color w:val="999999"/>
          <w:sz w:val="18"/>
          <w:szCs w:val="18"/>
        </w:rPr>
        <w:tab/>
        <w:t>Festlegung Schriftform</w:t>
      </w:r>
    </w:p>
    <w:p w:rsidR="00514D8B" w:rsidRDefault="00EE4096">
      <w:pPr>
        <w:spacing w:line="260" w:lineRule="exact"/>
        <w:ind w:left="567"/>
        <w:jc w:val="both"/>
        <w:rPr>
          <w:sz w:val="18"/>
          <w:szCs w:val="18"/>
        </w:rPr>
      </w:pPr>
      <w:r>
        <w:rPr>
          <w:sz w:val="18"/>
          <w:szCs w:val="18"/>
        </w:rPr>
        <w:t>Änderungen am Vertrag haben schriftlich zu erfolgen, ebenso Änderungen dieses Schriftformerforderni</w:t>
      </w:r>
      <w:r>
        <w:rPr>
          <w:sz w:val="18"/>
          <w:szCs w:val="18"/>
        </w:rPr>
        <w:t>s</w:t>
      </w:r>
      <w:r>
        <w:rPr>
          <w:sz w:val="18"/>
          <w:szCs w:val="18"/>
        </w:rPr>
        <w:t>ses.</w:t>
      </w:r>
    </w:p>
    <w:p w:rsidR="00514D8B" w:rsidRDefault="00514D8B">
      <w:pPr>
        <w:spacing w:line="260" w:lineRule="exact"/>
        <w:ind w:left="567"/>
        <w:jc w:val="both"/>
        <w:rPr>
          <w:rFonts w:cs="Arial"/>
          <w:sz w:val="18"/>
          <w:szCs w:val="18"/>
        </w:rPr>
      </w:pPr>
    </w:p>
    <w:p w:rsidR="00514D8B" w:rsidRDefault="00EE4096">
      <w:pPr>
        <w:spacing w:line="260" w:lineRule="exact"/>
        <w:jc w:val="both"/>
        <w:rPr>
          <w:color w:val="999999"/>
          <w:szCs w:val="18"/>
        </w:rPr>
      </w:pPr>
      <w:r>
        <w:rPr>
          <w:b/>
          <w:color w:val="999999"/>
          <w:sz w:val="18"/>
          <w:szCs w:val="18"/>
        </w:rPr>
        <w:t>14.2.</w:t>
      </w:r>
      <w:r>
        <w:rPr>
          <w:b/>
          <w:color w:val="999999"/>
          <w:sz w:val="18"/>
          <w:szCs w:val="18"/>
        </w:rPr>
        <w:tab/>
        <w:t>Teilunwirksamkeit</w:t>
      </w:r>
    </w:p>
    <w:p w:rsidR="00514D8B" w:rsidRDefault="00EE4096">
      <w:pPr>
        <w:spacing w:line="260" w:lineRule="exact"/>
        <w:ind w:left="567"/>
        <w:jc w:val="both"/>
        <w:rPr>
          <w:sz w:val="18"/>
          <w:szCs w:val="18"/>
        </w:rPr>
      </w:pPr>
      <w:r>
        <w:rPr>
          <w:sz w:val="18"/>
          <w:szCs w:val="18"/>
        </w:rPr>
        <w:t>Ist oder wird eine Bestimmung dieses Vertrags nebst seiner Anlagen unwirksam, bleiben die übrigen Bes</w:t>
      </w:r>
      <w:r>
        <w:rPr>
          <w:sz w:val="18"/>
          <w:szCs w:val="18"/>
        </w:rPr>
        <w:t>t</w:t>
      </w:r>
      <w:r>
        <w:rPr>
          <w:sz w:val="18"/>
          <w:szCs w:val="18"/>
        </w:rPr>
        <w:t>immungen wirksam</w:t>
      </w:r>
    </w:p>
    <w:p w:rsidR="00514D8B" w:rsidRDefault="00514D8B">
      <w:pPr>
        <w:spacing w:line="260" w:lineRule="exact"/>
        <w:ind w:left="567"/>
        <w:jc w:val="both"/>
        <w:rPr>
          <w:rFonts w:cs="Arial"/>
          <w:sz w:val="18"/>
          <w:szCs w:val="18"/>
        </w:rPr>
      </w:pPr>
    </w:p>
    <w:p w:rsidR="00514D8B" w:rsidRDefault="00EE4096">
      <w:pPr>
        <w:spacing w:line="260" w:lineRule="exact"/>
        <w:jc w:val="both"/>
        <w:rPr>
          <w:color w:val="999999"/>
          <w:szCs w:val="18"/>
        </w:rPr>
      </w:pPr>
      <w:r>
        <w:rPr>
          <w:b/>
          <w:color w:val="999999"/>
          <w:sz w:val="18"/>
          <w:szCs w:val="18"/>
        </w:rPr>
        <w:t>14.3.</w:t>
      </w:r>
      <w:r>
        <w:rPr>
          <w:b/>
          <w:color w:val="999999"/>
          <w:sz w:val="18"/>
          <w:szCs w:val="18"/>
        </w:rPr>
        <w:tab/>
        <w:t>Salvatorische Klausel</w:t>
      </w:r>
    </w:p>
    <w:p w:rsidR="00514D8B" w:rsidRDefault="00EE4096">
      <w:pPr>
        <w:spacing w:line="260" w:lineRule="exact"/>
        <w:ind w:left="567"/>
        <w:jc w:val="both"/>
        <w:rPr>
          <w:sz w:val="18"/>
          <w:szCs w:val="18"/>
        </w:rPr>
      </w:pPr>
      <w:r>
        <w:rPr>
          <w:sz w:val="18"/>
          <w:szCs w:val="18"/>
        </w:rPr>
        <w:t>Ist oder wird eine Bestimmung dieses Vertrags nebst seiner Anlagen unwirksam oder wird nachträglich e</w:t>
      </w:r>
      <w:r>
        <w:rPr>
          <w:sz w:val="18"/>
          <w:szCs w:val="18"/>
        </w:rPr>
        <w:t>i</w:t>
      </w:r>
      <w:r>
        <w:rPr>
          <w:sz w:val="18"/>
          <w:szCs w:val="18"/>
        </w:rPr>
        <w:t>ne Regelungslücke offenbar, werden die Partner an Stelle der unwirksamen oder fehlenden Regelung ei</w:t>
      </w:r>
      <w:r>
        <w:rPr>
          <w:sz w:val="18"/>
          <w:szCs w:val="18"/>
        </w:rPr>
        <w:t>n</w:t>
      </w:r>
      <w:r>
        <w:rPr>
          <w:sz w:val="18"/>
          <w:szCs w:val="18"/>
        </w:rPr>
        <w:t>vernehmlich eine solche vereinbaren, die der unwirksamen Bestimmung wirtschaftlich am nächsten kommt oder die sie – im Falle der Vertragslücke – unter Berücksichtigung von Sinn und Zweck des gesamten Ve</w:t>
      </w:r>
      <w:r>
        <w:rPr>
          <w:sz w:val="18"/>
          <w:szCs w:val="18"/>
        </w:rPr>
        <w:t>r</w:t>
      </w:r>
      <w:r>
        <w:rPr>
          <w:sz w:val="18"/>
          <w:szCs w:val="18"/>
        </w:rPr>
        <w:t>tragswerks nach Treu und Glauben vereinbart haben würden, wäre ihnen die Vertragslücke offenbar g</w:t>
      </w:r>
      <w:r>
        <w:rPr>
          <w:sz w:val="18"/>
          <w:szCs w:val="18"/>
        </w:rPr>
        <w:t>e</w:t>
      </w:r>
      <w:r>
        <w:rPr>
          <w:sz w:val="18"/>
          <w:szCs w:val="18"/>
        </w:rPr>
        <w:t>wesen.</w:t>
      </w:r>
    </w:p>
    <w:p w:rsidR="00514D8B" w:rsidRDefault="00514D8B">
      <w:pPr>
        <w:spacing w:line="260" w:lineRule="exact"/>
        <w:ind w:left="567"/>
        <w:jc w:val="both"/>
        <w:rPr>
          <w:rFonts w:cs="Arial"/>
          <w:sz w:val="18"/>
          <w:szCs w:val="18"/>
        </w:rPr>
      </w:pPr>
    </w:p>
    <w:p w:rsidR="00514D8B" w:rsidRDefault="00EE4096">
      <w:pPr>
        <w:spacing w:line="260" w:lineRule="exact"/>
        <w:jc w:val="both"/>
        <w:rPr>
          <w:b/>
          <w:color w:val="999999"/>
          <w:sz w:val="18"/>
          <w:szCs w:val="18"/>
        </w:rPr>
      </w:pPr>
      <w:r>
        <w:rPr>
          <w:b/>
          <w:color w:val="999999"/>
          <w:sz w:val="18"/>
          <w:szCs w:val="18"/>
        </w:rPr>
        <w:t>14.4.</w:t>
      </w:r>
      <w:r>
        <w:rPr>
          <w:b/>
          <w:color w:val="999999"/>
          <w:sz w:val="18"/>
          <w:szCs w:val="18"/>
        </w:rPr>
        <w:tab/>
        <w:t>Offenlegung von Rechtsverhältnissen des Auftragnehmers</w:t>
      </w:r>
    </w:p>
    <w:p w:rsidR="00514D8B" w:rsidRDefault="00EE4096">
      <w:pPr>
        <w:spacing w:line="260" w:lineRule="exact"/>
        <w:ind w:left="567"/>
        <w:jc w:val="both"/>
        <w:rPr>
          <w:sz w:val="18"/>
          <w:szCs w:val="18"/>
        </w:rPr>
      </w:pPr>
      <w:r>
        <w:rPr>
          <w:sz w:val="18"/>
          <w:szCs w:val="18"/>
        </w:rPr>
        <w:t>Soweit sich die Anlage des Auftragnehmers auf dem Grundstück / in den Räumlichkeiten des Auftragg</w:t>
      </w:r>
      <w:r>
        <w:rPr>
          <w:sz w:val="18"/>
          <w:szCs w:val="18"/>
        </w:rPr>
        <w:t>e</w:t>
      </w:r>
      <w:r>
        <w:rPr>
          <w:sz w:val="18"/>
          <w:szCs w:val="18"/>
        </w:rPr>
        <w:t>bers befindet, sind Forderungsabtretungen und die Eigentumsverhältnisse an der Anlage des Auftragne</w:t>
      </w:r>
      <w:r>
        <w:rPr>
          <w:sz w:val="18"/>
          <w:szCs w:val="18"/>
        </w:rPr>
        <w:t>h</w:t>
      </w:r>
      <w:r>
        <w:rPr>
          <w:sz w:val="18"/>
          <w:szCs w:val="18"/>
        </w:rPr>
        <w:t>mers offen zu legen.</w:t>
      </w:r>
    </w:p>
    <w:p w:rsidR="00514D8B" w:rsidRDefault="00514D8B">
      <w:pPr>
        <w:spacing w:line="260" w:lineRule="exact"/>
        <w:ind w:left="540"/>
        <w:jc w:val="both"/>
        <w:rPr>
          <w:sz w:val="18"/>
          <w:szCs w:val="18"/>
        </w:rPr>
      </w:pPr>
    </w:p>
    <w:p w:rsidR="00514D8B" w:rsidRDefault="00EE4096">
      <w:pPr>
        <w:spacing w:line="260" w:lineRule="exact"/>
        <w:jc w:val="both"/>
        <w:rPr>
          <w:b/>
          <w:color w:val="999999"/>
          <w:sz w:val="18"/>
          <w:szCs w:val="18"/>
        </w:rPr>
      </w:pPr>
      <w:r>
        <w:rPr>
          <w:b/>
          <w:color w:val="999999"/>
          <w:sz w:val="18"/>
          <w:szCs w:val="18"/>
        </w:rPr>
        <w:t>14.5.</w:t>
      </w:r>
      <w:r>
        <w:rPr>
          <w:b/>
          <w:color w:val="999999"/>
          <w:sz w:val="18"/>
          <w:szCs w:val="18"/>
        </w:rPr>
        <w:tab/>
        <w:t>Gerichtsstand</w:t>
      </w:r>
    </w:p>
    <w:p w:rsidR="00514D8B" w:rsidRDefault="00EE4096">
      <w:pPr>
        <w:spacing w:line="260" w:lineRule="exact"/>
        <w:ind w:left="567"/>
        <w:jc w:val="both"/>
        <w:rPr>
          <w:sz w:val="18"/>
          <w:szCs w:val="18"/>
        </w:rPr>
      </w:pPr>
      <w:r>
        <w:rPr>
          <w:sz w:val="18"/>
          <w:szCs w:val="18"/>
        </w:rPr>
        <w:t>Gerichtsstand für Streitigkeiten im Zusammenhang mit diesem Vertrag ist der Gerichtsstand des Auftra</w:t>
      </w:r>
      <w:r>
        <w:rPr>
          <w:sz w:val="18"/>
          <w:szCs w:val="18"/>
        </w:rPr>
        <w:t>g</w:t>
      </w:r>
      <w:r>
        <w:rPr>
          <w:sz w:val="18"/>
          <w:szCs w:val="18"/>
        </w:rPr>
        <w:t>gebers.</w:t>
      </w:r>
    </w:p>
    <w:p w:rsidR="00514D8B" w:rsidRDefault="00514D8B">
      <w:pPr>
        <w:spacing w:line="260" w:lineRule="exact"/>
        <w:ind w:left="567"/>
        <w:jc w:val="both"/>
        <w:rPr>
          <w:sz w:val="18"/>
          <w:szCs w:val="18"/>
        </w:rPr>
      </w:pPr>
    </w:p>
    <w:p w:rsidR="00514D8B" w:rsidRDefault="00EE4096">
      <w:pPr>
        <w:spacing w:line="260" w:lineRule="exact"/>
        <w:jc w:val="both"/>
        <w:rPr>
          <w:b/>
          <w:color w:val="999999"/>
          <w:sz w:val="18"/>
          <w:szCs w:val="18"/>
        </w:rPr>
      </w:pPr>
      <w:r>
        <w:rPr>
          <w:b/>
          <w:color w:val="999999"/>
          <w:sz w:val="18"/>
          <w:szCs w:val="18"/>
        </w:rPr>
        <w:t>14.6.</w:t>
      </w:r>
      <w:r>
        <w:rPr>
          <w:b/>
          <w:color w:val="999999"/>
          <w:sz w:val="18"/>
          <w:szCs w:val="18"/>
        </w:rPr>
        <w:tab/>
        <w:t>Anwendung der AVBFernwärmeV</w:t>
      </w:r>
    </w:p>
    <w:p w:rsidR="00514D8B" w:rsidRDefault="00EE4096">
      <w:pPr>
        <w:spacing w:line="260" w:lineRule="exact"/>
        <w:ind w:left="567"/>
        <w:jc w:val="both"/>
        <w:rPr>
          <w:sz w:val="18"/>
          <w:szCs w:val="18"/>
        </w:rPr>
      </w:pPr>
      <w:r>
        <w:rPr>
          <w:sz w:val="18"/>
          <w:szCs w:val="18"/>
        </w:rPr>
        <w:t>Die AVBFernwärmeV in der jeweils gültigen Fassung ist anwendbar, soweit nicht in diesem Vertrag etwas anderes vereinbart worden ist. Der zum Zeitpunkt des Vertragsschlusses gültige Verordnungstext ist di</w:t>
      </w:r>
      <w:r>
        <w:rPr>
          <w:sz w:val="18"/>
          <w:szCs w:val="18"/>
        </w:rPr>
        <w:t>e</w:t>
      </w:r>
      <w:r>
        <w:rPr>
          <w:sz w:val="18"/>
          <w:szCs w:val="18"/>
        </w:rPr>
        <w:t>sem Vertrag als Anlage 4 beigefügt.</w:t>
      </w:r>
    </w:p>
    <w:p w:rsidR="00514D8B" w:rsidRDefault="00514D8B">
      <w:pPr>
        <w:spacing w:line="260" w:lineRule="exact"/>
        <w:ind w:left="567"/>
        <w:jc w:val="both"/>
        <w:rPr>
          <w:rFonts w:cs="Arial"/>
          <w:sz w:val="18"/>
          <w:szCs w:val="18"/>
        </w:rPr>
      </w:pPr>
    </w:p>
    <w:p w:rsidR="00514D8B" w:rsidRDefault="00514D8B">
      <w:pPr>
        <w:spacing w:line="260" w:lineRule="exact"/>
        <w:ind w:left="567"/>
        <w:jc w:val="both"/>
        <w:rPr>
          <w:rFonts w:cs="Arial"/>
          <w:sz w:val="18"/>
          <w:szCs w:val="18"/>
        </w:rPr>
      </w:pPr>
    </w:p>
    <w:p w:rsidR="00514D8B" w:rsidRDefault="00514D8B">
      <w:pPr>
        <w:spacing w:line="260" w:lineRule="exact"/>
        <w:ind w:left="567"/>
        <w:jc w:val="both"/>
        <w:rPr>
          <w:rFonts w:cs="Arial"/>
          <w:sz w:val="18"/>
          <w:szCs w:val="18"/>
        </w:rPr>
      </w:pPr>
    </w:p>
    <w:p w:rsidR="00514D8B" w:rsidRDefault="00EE4096">
      <w:pPr>
        <w:spacing w:line="260" w:lineRule="exact"/>
        <w:ind w:left="567"/>
        <w:jc w:val="both"/>
        <w:rPr>
          <w:rFonts w:cs="Arial"/>
          <w:sz w:val="18"/>
          <w:szCs w:val="18"/>
        </w:rPr>
      </w:pPr>
      <w:r>
        <w:rPr>
          <w:rFonts w:cs="Arial"/>
          <w:sz w:val="18"/>
          <w:szCs w:val="18"/>
        </w:rPr>
        <w:br w:type="page"/>
      </w:r>
    </w:p>
    <w:tbl>
      <w:tblPr>
        <w:tblW w:w="12580" w:type="dxa"/>
        <w:tblInd w:w="68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1694"/>
        <w:gridCol w:w="692"/>
        <w:gridCol w:w="865"/>
        <w:gridCol w:w="1283"/>
        <w:gridCol w:w="1541"/>
        <w:gridCol w:w="1691"/>
        <w:gridCol w:w="1411"/>
        <w:gridCol w:w="3403"/>
      </w:tblGrid>
      <w:tr w:rsidR="00514D8B">
        <w:trPr>
          <w:gridAfter w:val="1"/>
          <w:wAfter w:w="3403" w:type="dxa"/>
          <w:trHeight w:val="283"/>
        </w:trPr>
        <w:tc>
          <w:tcPr>
            <w:tcW w:w="1694" w:type="dxa"/>
            <w:shd w:val="clear" w:color="auto" w:fill="FFFF00"/>
            <w:vAlign w:val="center"/>
          </w:tcPr>
          <w:bookmarkStart w:id="77" w:name="Text66"/>
          <w:p w:rsidR="00514D8B" w:rsidRDefault="00EE4096">
            <w:pPr>
              <w:rPr>
                <w:sz w:val="18"/>
                <w:szCs w:val="18"/>
                <w:highlight w:val="yellow"/>
              </w:rPr>
            </w:pPr>
            <w:r>
              <w:rPr>
                <w:sz w:val="18"/>
                <w:szCs w:val="18"/>
                <w:highlight w:val="yellow"/>
              </w:rPr>
              <w:fldChar w:fldCharType="begin">
                <w:ffData>
                  <w:name w:val="Text66"/>
                  <w:enabled/>
                  <w:calcOnExit w:val="0"/>
                  <w:textInput>
                    <w:default w:val="Ort"/>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Ort</w:t>
            </w:r>
            <w:r>
              <w:rPr>
                <w:sz w:val="18"/>
                <w:szCs w:val="18"/>
                <w:highlight w:val="yellow"/>
              </w:rPr>
              <w:fldChar w:fldCharType="end"/>
            </w:r>
            <w:bookmarkEnd w:id="77"/>
          </w:p>
        </w:tc>
        <w:bookmarkStart w:id="78" w:name="Text67"/>
        <w:tc>
          <w:tcPr>
            <w:tcW w:w="1557" w:type="dxa"/>
            <w:gridSpan w:val="2"/>
            <w:shd w:val="clear" w:color="auto" w:fill="FFFF00"/>
            <w:vAlign w:val="center"/>
          </w:tcPr>
          <w:p w:rsidR="00514D8B" w:rsidRDefault="00EE4096">
            <w:pPr>
              <w:rPr>
                <w:sz w:val="18"/>
                <w:szCs w:val="18"/>
              </w:rPr>
            </w:pPr>
            <w:r>
              <w:rPr>
                <w:sz w:val="18"/>
                <w:szCs w:val="18"/>
              </w:rPr>
              <w:fldChar w:fldCharType="begin">
                <w:ffData>
                  <w:name w:val="Text67"/>
                  <w:enabled/>
                  <w:calcOnExit w:val="0"/>
                  <w:textInput>
                    <w:default w:val="Datum"/>
                  </w:textInput>
                </w:ffData>
              </w:fldChar>
            </w:r>
            <w:r>
              <w:rPr>
                <w:sz w:val="18"/>
                <w:szCs w:val="18"/>
              </w:rPr>
              <w:instrText xml:space="preserve"> FORMTEXT </w:instrText>
            </w:r>
            <w:r>
              <w:rPr>
                <w:sz w:val="18"/>
                <w:szCs w:val="18"/>
              </w:rPr>
            </w:r>
            <w:r>
              <w:rPr>
                <w:sz w:val="18"/>
                <w:szCs w:val="18"/>
              </w:rPr>
              <w:fldChar w:fldCharType="separate"/>
            </w:r>
            <w:r>
              <w:rPr>
                <w:noProof/>
                <w:sz w:val="18"/>
                <w:szCs w:val="18"/>
              </w:rPr>
              <w:t>Datum</w:t>
            </w:r>
            <w:r>
              <w:rPr>
                <w:sz w:val="18"/>
                <w:szCs w:val="18"/>
              </w:rPr>
              <w:fldChar w:fldCharType="end"/>
            </w:r>
            <w:bookmarkEnd w:id="78"/>
          </w:p>
        </w:tc>
        <w:bookmarkStart w:id="79" w:name="Text68"/>
        <w:tc>
          <w:tcPr>
            <w:tcW w:w="1283" w:type="dxa"/>
            <w:shd w:val="clear" w:color="auto" w:fill="FFFF00"/>
          </w:tcPr>
          <w:p w:rsidR="00514D8B" w:rsidRDefault="00EE4096">
            <w:pPr>
              <w:rPr>
                <w:sz w:val="18"/>
                <w:szCs w:val="18"/>
              </w:rPr>
            </w:pPr>
            <w:r>
              <w:rPr>
                <w:sz w:val="18"/>
                <w:szCs w:val="18"/>
              </w:rPr>
              <w:fldChar w:fldCharType="begin">
                <w:ffData>
                  <w:name w:val="Text68"/>
                  <w:enabled/>
                  <w:calcOnExit w:val="0"/>
                  <w:textInput>
                    <w:default w:val="Ort"/>
                  </w:textInput>
                </w:ffData>
              </w:fldChar>
            </w:r>
            <w:r>
              <w:rPr>
                <w:sz w:val="18"/>
                <w:szCs w:val="18"/>
              </w:rPr>
              <w:instrText xml:space="preserve"> FORMTEXT </w:instrText>
            </w:r>
            <w:r>
              <w:rPr>
                <w:sz w:val="18"/>
                <w:szCs w:val="18"/>
              </w:rPr>
            </w:r>
            <w:r>
              <w:rPr>
                <w:sz w:val="18"/>
                <w:szCs w:val="18"/>
              </w:rPr>
              <w:fldChar w:fldCharType="separate"/>
            </w:r>
            <w:r>
              <w:rPr>
                <w:noProof/>
                <w:sz w:val="18"/>
                <w:szCs w:val="18"/>
              </w:rPr>
              <w:t>Ort</w:t>
            </w:r>
            <w:r>
              <w:rPr>
                <w:sz w:val="18"/>
                <w:szCs w:val="18"/>
              </w:rPr>
              <w:fldChar w:fldCharType="end"/>
            </w:r>
            <w:bookmarkEnd w:id="79"/>
          </w:p>
        </w:tc>
        <w:bookmarkStart w:id="80" w:name="Text69"/>
        <w:tc>
          <w:tcPr>
            <w:tcW w:w="1541" w:type="dxa"/>
            <w:shd w:val="clear" w:color="auto" w:fill="FFFF00"/>
            <w:vAlign w:val="center"/>
          </w:tcPr>
          <w:p w:rsidR="00514D8B" w:rsidRDefault="00EE4096">
            <w:pPr>
              <w:rPr>
                <w:sz w:val="18"/>
                <w:szCs w:val="18"/>
              </w:rPr>
            </w:pPr>
            <w:r>
              <w:rPr>
                <w:sz w:val="18"/>
                <w:szCs w:val="18"/>
              </w:rPr>
              <w:fldChar w:fldCharType="begin">
                <w:ffData>
                  <w:name w:val="Text69"/>
                  <w:enabled/>
                  <w:calcOnExit w:val="0"/>
                  <w:textInput>
                    <w:default w:val="Datum"/>
                  </w:textInput>
                </w:ffData>
              </w:fldChar>
            </w:r>
            <w:r>
              <w:rPr>
                <w:sz w:val="18"/>
                <w:szCs w:val="18"/>
              </w:rPr>
              <w:instrText xml:space="preserve"> FORMTEXT </w:instrText>
            </w:r>
            <w:r>
              <w:rPr>
                <w:sz w:val="18"/>
                <w:szCs w:val="18"/>
              </w:rPr>
            </w:r>
            <w:r>
              <w:rPr>
                <w:sz w:val="18"/>
                <w:szCs w:val="18"/>
              </w:rPr>
              <w:fldChar w:fldCharType="separate"/>
            </w:r>
            <w:r>
              <w:rPr>
                <w:noProof/>
                <w:sz w:val="18"/>
                <w:szCs w:val="18"/>
              </w:rPr>
              <w:t>Datum</w:t>
            </w:r>
            <w:r>
              <w:rPr>
                <w:sz w:val="18"/>
                <w:szCs w:val="18"/>
              </w:rPr>
              <w:fldChar w:fldCharType="end"/>
            </w:r>
            <w:bookmarkEnd w:id="80"/>
          </w:p>
        </w:tc>
        <w:bookmarkStart w:id="81" w:name="Text70"/>
        <w:tc>
          <w:tcPr>
            <w:tcW w:w="1691" w:type="dxa"/>
            <w:shd w:val="clear" w:color="auto" w:fill="FFFF00"/>
            <w:vAlign w:val="center"/>
          </w:tcPr>
          <w:p w:rsidR="00514D8B" w:rsidRDefault="00EE4096">
            <w:pPr>
              <w:rPr>
                <w:sz w:val="18"/>
                <w:szCs w:val="18"/>
              </w:rPr>
            </w:pPr>
            <w:r>
              <w:rPr>
                <w:sz w:val="18"/>
                <w:szCs w:val="18"/>
              </w:rPr>
              <w:fldChar w:fldCharType="begin">
                <w:ffData>
                  <w:name w:val="Text70"/>
                  <w:enabled/>
                  <w:calcOnExit w:val="0"/>
                  <w:textInput>
                    <w:default w:val="Ort"/>
                  </w:textInput>
                </w:ffData>
              </w:fldChar>
            </w:r>
            <w:r>
              <w:rPr>
                <w:sz w:val="18"/>
                <w:szCs w:val="18"/>
              </w:rPr>
              <w:instrText xml:space="preserve"> FORMTEXT </w:instrText>
            </w:r>
            <w:r>
              <w:rPr>
                <w:sz w:val="18"/>
                <w:szCs w:val="18"/>
              </w:rPr>
            </w:r>
            <w:r>
              <w:rPr>
                <w:sz w:val="18"/>
                <w:szCs w:val="18"/>
              </w:rPr>
              <w:fldChar w:fldCharType="separate"/>
            </w:r>
            <w:r>
              <w:rPr>
                <w:noProof/>
                <w:sz w:val="18"/>
                <w:szCs w:val="18"/>
              </w:rPr>
              <w:t>Ort</w:t>
            </w:r>
            <w:r>
              <w:rPr>
                <w:sz w:val="18"/>
                <w:szCs w:val="18"/>
              </w:rPr>
              <w:fldChar w:fldCharType="end"/>
            </w:r>
            <w:bookmarkEnd w:id="81"/>
          </w:p>
        </w:tc>
        <w:bookmarkStart w:id="82" w:name="Text71"/>
        <w:tc>
          <w:tcPr>
            <w:tcW w:w="1411" w:type="dxa"/>
            <w:shd w:val="clear" w:color="auto" w:fill="FFFF00"/>
            <w:vAlign w:val="center"/>
          </w:tcPr>
          <w:p w:rsidR="00514D8B" w:rsidRDefault="00EE4096">
            <w:pPr>
              <w:rPr>
                <w:sz w:val="18"/>
                <w:szCs w:val="18"/>
              </w:rPr>
            </w:pPr>
            <w:r>
              <w:rPr>
                <w:sz w:val="18"/>
                <w:szCs w:val="18"/>
              </w:rPr>
              <w:fldChar w:fldCharType="begin">
                <w:ffData>
                  <w:name w:val="Text71"/>
                  <w:enabled/>
                  <w:calcOnExit w:val="0"/>
                  <w:textInput>
                    <w:default w:val="Datum"/>
                  </w:textInput>
                </w:ffData>
              </w:fldChar>
            </w:r>
            <w:r>
              <w:rPr>
                <w:sz w:val="18"/>
                <w:szCs w:val="18"/>
              </w:rPr>
              <w:instrText xml:space="preserve"> FORMTEXT </w:instrText>
            </w:r>
            <w:r>
              <w:rPr>
                <w:sz w:val="18"/>
                <w:szCs w:val="18"/>
              </w:rPr>
            </w:r>
            <w:r>
              <w:rPr>
                <w:sz w:val="18"/>
                <w:szCs w:val="18"/>
              </w:rPr>
              <w:fldChar w:fldCharType="separate"/>
            </w:r>
            <w:r>
              <w:rPr>
                <w:noProof/>
                <w:sz w:val="18"/>
                <w:szCs w:val="18"/>
              </w:rPr>
              <w:t>Datum</w:t>
            </w:r>
            <w:r>
              <w:rPr>
                <w:sz w:val="18"/>
                <w:szCs w:val="18"/>
              </w:rPr>
              <w:fldChar w:fldCharType="end"/>
            </w:r>
            <w:bookmarkEnd w:id="82"/>
          </w:p>
        </w:tc>
      </w:tr>
      <w:tr w:rsidR="00514D8B">
        <w:trPr>
          <w:trHeight w:val="283"/>
        </w:trPr>
        <w:tc>
          <w:tcPr>
            <w:tcW w:w="1694" w:type="dxa"/>
            <w:tcBorders>
              <w:bottom w:val="single" w:sz="24" w:space="0" w:color="FFFFFF"/>
            </w:tcBorders>
            <w:vAlign w:val="center"/>
          </w:tcPr>
          <w:p w:rsidR="00514D8B" w:rsidRDefault="00514D8B">
            <w:pPr>
              <w:pStyle w:val="NormalBold"/>
              <w:rPr>
                <w:szCs w:val="18"/>
              </w:rPr>
            </w:pPr>
          </w:p>
          <w:p w:rsidR="00514D8B" w:rsidRDefault="00EE4096">
            <w:pPr>
              <w:pStyle w:val="NormalBold"/>
              <w:rPr>
                <w:szCs w:val="18"/>
              </w:rPr>
            </w:pPr>
            <w:r>
              <w:rPr>
                <w:szCs w:val="18"/>
              </w:rPr>
              <w:t>Auftraggeber</w:t>
            </w:r>
          </w:p>
        </w:tc>
        <w:tc>
          <w:tcPr>
            <w:tcW w:w="692" w:type="dxa"/>
            <w:tcBorders>
              <w:bottom w:val="single" w:sz="24" w:space="0" w:color="FFFFFF"/>
            </w:tcBorders>
            <w:vAlign w:val="center"/>
          </w:tcPr>
          <w:p w:rsidR="00514D8B" w:rsidRDefault="00514D8B">
            <w:pPr>
              <w:rPr>
                <w:sz w:val="18"/>
                <w:szCs w:val="18"/>
              </w:rPr>
            </w:pPr>
          </w:p>
        </w:tc>
        <w:tc>
          <w:tcPr>
            <w:tcW w:w="865" w:type="dxa"/>
            <w:tcBorders>
              <w:bottom w:val="single" w:sz="24" w:space="0" w:color="FFFFFF"/>
            </w:tcBorders>
            <w:vAlign w:val="center"/>
          </w:tcPr>
          <w:p w:rsidR="00514D8B" w:rsidRDefault="00514D8B">
            <w:pPr>
              <w:rPr>
                <w:sz w:val="18"/>
                <w:szCs w:val="18"/>
              </w:rPr>
            </w:pPr>
          </w:p>
        </w:tc>
        <w:tc>
          <w:tcPr>
            <w:tcW w:w="2824" w:type="dxa"/>
            <w:gridSpan w:val="2"/>
          </w:tcPr>
          <w:p w:rsidR="00514D8B" w:rsidRDefault="00514D8B">
            <w:pPr>
              <w:pStyle w:val="NormalBold"/>
              <w:rPr>
                <w:szCs w:val="18"/>
              </w:rPr>
            </w:pPr>
          </w:p>
          <w:p w:rsidR="00514D8B" w:rsidRDefault="00EE4096">
            <w:pPr>
              <w:pStyle w:val="NormalBold"/>
              <w:rPr>
                <w:szCs w:val="18"/>
              </w:rPr>
            </w:pPr>
            <w:r>
              <w:rPr>
                <w:szCs w:val="18"/>
              </w:rPr>
              <w:t>Auftragnehmer</w:t>
            </w:r>
          </w:p>
        </w:tc>
        <w:tc>
          <w:tcPr>
            <w:tcW w:w="6505" w:type="dxa"/>
            <w:gridSpan w:val="3"/>
            <w:tcBorders>
              <w:bottom w:val="single" w:sz="24" w:space="0" w:color="FFFFFF"/>
            </w:tcBorders>
            <w:vAlign w:val="center"/>
          </w:tcPr>
          <w:p w:rsidR="00514D8B" w:rsidRDefault="00514D8B">
            <w:pPr>
              <w:spacing w:after="100"/>
              <w:rPr>
                <w:rFonts w:eastAsia="Times" w:cs="Arial"/>
                <w:b/>
                <w:sz w:val="18"/>
                <w:szCs w:val="18"/>
              </w:rPr>
            </w:pPr>
          </w:p>
          <w:p w:rsidR="00514D8B" w:rsidRDefault="00EE4096">
            <w:pPr>
              <w:spacing w:after="100"/>
              <w:rPr>
                <w:rFonts w:eastAsia="Times" w:cs="Arial"/>
                <w:b/>
                <w:sz w:val="18"/>
                <w:szCs w:val="18"/>
              </w:rPr>
            </w:pPr>
            <w:r>
              <w:rPr>
                <w:rFonts w:eastAsia="Times" w:cs="Arial"/>
                <w:b/>
                <w:sz w:val="18"/>
                <w:szCs w:val="18"/>
              </w:rPr>
              <w:t>Verpächter</w:t>
            </w:r>
          </w:p>
        </w:tc>
      </w:tr>
      <w:tr w:rsidR="00514D8B">
        <w:trPr>
          <w:gridAfter w:val="1"/>
          <w:wAfter w:w="3403" w:type="dxa"/>
          <w:trHeight w:val="1335"/>
        </w:trPr>
        <w:tc>
          <w:tcPr>
            <w:tcW w:w="3251" w:type="dxa"/>
            <w:gridSpan w:val="3"/>
            <w:shd w:val="clear" w:color="auto" w:fill="FFFF00"/>
            <w:vAlign w:val="bottom"/>
          </w:tcPr>
          <w:p w:rsidR="00514D8B" w:rsidRDefault="00EE4096">
            <w:pPr>
              <w:jc w:val="center"/>
              <w:rPr>
                <w:sz w:val="15"/>
                <w:szCs w:val="15"/>
              </w:rPr>
            </w:pPr>
            <w:r>
              <w:rPr>
                <w:sz w:val="15"/>
                <w:szCs w:val="15"/>
              </w:rPr>
              <w:t xml:space="preserve">(Stempel / Dienstsiegel und </w:t>
            </w:r>
          </w:p>
          <w:p w:rsidR="00514D8B" w:rsidRDefault="00EE4096">
            <w:pPr>
              <w:jc w:val="center"/>
              <w:rPr>
                <w:sz w:val="15"/>
                <w:szCs w:val="15"/>
              </w:rPr>
            </w:pPr>
            <w:r>
              <w:rPr>
                <w:sz w:val="15"/>
                <w:szCs w:val="15"/>
              </w:rPr>
              <w:t>rechtsverbindliche Unterschrift)</w:t>
            </w:r>
          </w:p>
        </w:tc>
        <w:tc>
          <w:tcPr>
            <w:tcW w:w="2824" w:type="dxa"/>
            <w:gridSpan w:val="2"/>
            <w:shd w:val="clear" w:color="auto" w:fill="FFFF00"/>
            <w:vAlign w:val="bottom"/>
          </w:tcPr>
          <w:p w:rsidR="00514D8B" w:rsidRDefault="00EE4096">
            <w:pPr>
              <w:jc w:val="center"/>
              <w:rPr>
                <w:sz w:val="15"/>
                <w:szCs w:val="15"/>
              </w:rPr>
            </w:pPr>
            <w:r>
              <w:rPr>
                <w:sz w:val="15"/>
                <w:szCs w:val="15"/>
              </w:rPr>
              <w:t xml:space="preserve">(Firmenstempel und </w:t>
            </w:r>
          </w:p>
          <w:p w:rsidR="00514D8B" w:rsidRDefault="00EE4096">
            <w:pPr>
              <w:jc w:val="center"/>
              <w:rPr>
                <w:sz w:val="15"/>
                <w:szCs w:val="15"/>
              </w:rPr>
            </w:pPr>
            <w:r>
              <w:rPr>
                <w:sz w:val="15"/>
                <w:szCs w:val="15"/>
              </w:rPr>
              <w:t>rechtsverbindliche Unterschrift)</w:t>
            </w:r>
          </w:p>
        </w:tc>
        <w:tc>
          <w:tcPr>
            <w:tcW w:w="3102" w:type="dxa"/>
            <w:gridSpan w:val="2"/>
            <w:shd w:val="clear" w:color="auto" w:fill="FFFF00"/>
            <w:vAlign w:val="bottom"/>
          </w:tcPr>
          <w:p w:rsidR="00514D8B" w:rsidRDefault="00EE4096">
            <w:pPr>
              <w:jc w:val="center"/>
              <w:rPr>
                <w:sz w:val="15"/>
                <w:szCs w:val="15"/>
              </w:rPr>
            </w:pPr>
            <w:r>
              <w:rPr>
                <w:sz w:val="15"/>
                <w:szCs w:val="15"/>
              </w:rPr>
              <w:t xml:space="preserve">(Stempel / Dienstsiegel und </w:t>
            </w:r>
          </w:p>
          <w:p w:rsidR="00514D8B" w:rsidRDefault="00EE4096">
            <w:pPr>
              <w:jc w:val="center"/>
              <w:rPr>
                <w:sz w:val="15"/>
                <w:szCs w:val="15"/>
              </w:rPr>
            </w:pPr>
            <w:r>
              <w:rPr>
                <w:sz w:val="15"/>
                <w:szCs w:val="15"/>
              </w:rPr>
              <w:t>rechtsverbindliche Unterschrift)</w:t>
            </w:r>
          </w:p>
        </w:tc>
      </w:tr>
    </w:tbl>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514D8B">
      <w:pPr>
        <w:tabs>
          <w:tab w:val="left" w:pos="720"/>
        </w:tabs>
        <w:spacing w:line="260" w:lineRule="exact"/>
        <w:ind w:left="720" w:hanging="720"/>
        <w:jc w:val="both"/>
        <w:rPr>
          <w:sz w:val="18"/>
          <w:szCs w:val="18"/>
        </w:rPr>
      </w:pPr>
    </w:p>
    <w:p w:rsidR="00514D8B" w:rsidRDefault="00EE4096">
      <w:pPr>
        <w:spacing w:line="260" w:lineRule="exact"/>
        <w:jc w:val="both"/>
        <w:rPr>
          <w:color w:val="00CCFF"/>
          <w:sz w:val="18"/>
          <w:szCs w:val="18"/>
        </w:rPr>
      </w:pPr>
      <w:bookmarkStart w:id="83" w:name="_Toc522195124"/>
      <w:bookmarkStart w:id="84" w:name="_Toc189878133"/>
      <w:r>
        <w:rPr>
          <w:b/>
          <w:color w:val="00CCFF"/>
          <w:sz w:val="18"/>
          <w:szCs w:val="18"/>
        </w:rPr>
        <w:t>15.</w:t>
      </w:r>
      <w:r>
        <w:rPr>
          <w:b/>
          <w:color w:val="00CCFF"/>
          <w:sz w:val="18"/>
          <w:szCs w:val="18"/>
        </w:rPr>
        <w:tab/>
        <w:t>An</w:t>
      </w:r>
      <w:bookmarkEnd w:id="83"/>
      <w:r>
        <w:rPr>
          <w:b/>
          <w:color w:val="00CCFF"/>
          <w:sz w:val="18"/>
          <w:szCs w:val="18"/>
        </w:rPr>
        <w:t>lagen</w:t>
      </w:r>
      <w:bookmarkEnd w:id="84"/>
    </w:p>
    <w:p w:rsidR="00514D8B" w:rsidRDefault="00514D8B">
      <w:pPr>
        <w:spacing w:line="260" w:lineRule="exact"/>
        <w:ind w:left="540"/>
        <w:jc w:val="both"/>
        <w:outlineLvl w:val="0"/>
        <w:rPr>
          <w:sz w:val="18"/>
          <w:szCs w:val="18"/>
        </w:rPr>
      </w:pPr>
    </w:p>
    <w:p w:rsidR="00514D8B" w:rsidRDefault="00EE4096">
      <w:pPr>
        <w:spacing w:line="260" w:lineRule="exact"/>
        <w:ind w:left="540"/>
        <w:jc w:val="both"/>
        <w:outlineLvl w:val="0"/>
        <w:rPr>
          <w:sz w:val="18"/>
          <w:szCs w:val="18"/>
        </w:rPr>
      </w:pPr>
      <w:r>
        <w:rPr>
          <w:sz w:val="18"/>
          <w:szCs w:val="18"/>
        </w:rPr>
        <w:t>Alle diesem Vertrag beigefügten Anlagen nebst Anhängen</w:t>
      </w:r>
    </w:p>
    <w:p w:rsidR="00514D8B" w:rsidRDefault="00EE4096">
      <w:pPr>
        <w:spacing w:line="260" w:lineRule="exact"/>
        <w:ind w:left="1800" w:hanging="1260"/>
        <w:jc w:val="both"/>
        <w:rPr>
          <w:rFonts w:cs="Arial"/>
          <w:sz w:val="18"/>
          <w:szCs w:val="18"/>
        </w:rPr>
      </w:pPr>
      <w:bookmarkStart w:id="85" w:name="_Ref233775289"/>
      <w:bookmarkStart w:id="86" w:name="_Ref256591705"/>
      <w:r>
        <w:rPr>
          <w:sz w:val="18"/>
          <w:szCs w:val="18"/>
        </w:rPr>
        <w:t xml:space="preserve">- Anlage </w:t>
      </w:r>
      <w:bookmarkEnd w:id="85"/>
      <w:r>
        <w:rPr>
          <w:sz w:val="18"/>
          <w:szCs w:val="18"/>
        </w:rPr>
        <w:t>1</w:t>
      </w:r>
      <w:bookmarkEnd w:id="86"/>
      <w:r>
        <w:rPr>
          <w:b/>
          <w:color w:val="999999"/>
          <w:sz w:val="18"/>
          <w:szCs w:val="18"/>
        </w:rPr>
        <w:tab/>
      </w:r>
      <w:r>
        <w:rPr>
          <w:rFonts w:cs="Arial"/>
          <w:sz w:val="18"/>
          <w:szCs w:val="18"/>
        </w:rPr>
        <w:t>Vertragsdatenblatt</w:t>
      </w:r>
    </w:p>
    <w:p w:rsidR="00514D8B" w:rsidRDefault="00EE4096">
      <w:pPr>
        <w:spacing w:line="260" w:lineRule="exact"/>
        <w:ind w:left="1800" w:hanging="1260"/>
        <w:jc w:val="both"/>
        <w:rPr>
          <w:b/>
          <w:color w:val="999999"/>
          <w:sz w:val="18"/>
          <w:szCs w:val="18"/>
        </w:rPr>
      </w:pPr>
      <w:bookmarkStart w:id="87" w:name="_Ref233773252"/>
      <w:r>
        <w:rPr>
          <w:sz w:val="18"/>
          <w:szCs w:val="18"/>
        </w:rPr>
        <w:t>- Anlage 2</w:t>
      </w:r>
      <w:r>
        <w:rPr>
          <w:rFonts w:cs="Arial"/>
          <w:sz w:val="18"/>
          <w:szCs w:val="18"/>
        </w:rPr>
        <w:tab/>
        <w:t xml:space="preserve">Technisches Versorgungskonzept vom </w:t>
      </w:r>
      <w:r>
        <w:rPr>
          <w:rFonts w:cs="Arial"/>
          <w:sz w:val="18"/>
          <w:szCs w:val="18"/>
          <w:highlight w:val="yellow"/>
        </w:rPr>
        <w:fldChar w:fldCharType="begin">
          <w:ffData>
            <w:name w:val="Text112"/>
            <w:enabled/>
            <w:calcOnExit w:val="0"/>
            <w:textInput>
              <w:default w:val="TT.MM.JJJJ"/>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TT.MM.JJJJ</w:t>
      </w:r>
      <w:r>
        <w:rPr>
          <w:rFonts w:cs="Arial"/>
          <w:sz w:val="18"/>
          <w:szCs w:val="18"/>
          <w:highlight w:val="yellow"/>
        </w:rPr>
        <w:fldChar w:fldCharType="end"/>
      </w:r>
    </w:p>
    <w:p w:rsidR="00514D8B" w:rsidRDefault="00EE4096">
      <w:pPr>
        <w:spacing w:line="260" w:lineRule="exact"/>
        <w:ind w:left="1800" w:hanging="1260"/>
        <w:jc w:val="both"/>
        <w:rPr>
          <w:rFonts w:cs="Arial"/>
          <w:sz w:val="18"/>
          <w:szCs w:val="18"/>
        </w:rPr>
      </w:pPr>
      <w:r>
        <w:rPr>
          <w:sz w:val="18"/>
          <w:szCs w:val="18"/>
        </w:rPr>
        <w:t>- Anlage 3</w:t>
      </w:r>
      <w:bookmarkEnd w:id="87"/>
      <w:r>
        <w:rPr>
          <w:rFonts w:cs="Arial"/>
          <w:sz w:val="18"/>
          <w:szCs w:val="18"/>
        </w:rPr>
        <w:tab/>
        <w:t xml:space="preserve">Leistungsbeschreibung über die Lieferung von Energie, Stand </w:t>
      </w:r>
      <w:r>
        <w:rPr>
          <w:rFonts w:cs="Arial"/>
          <w:sz w:val="18"/>
          <w:szCs w:val="18"/>
          <w:highlight w:val="yellow"/>
        </w:rPr>
        <w:fldChar w:fldCharType="begin">
          <w:ffData>
            <w:name w:val="Text112"/>
            <w:enabled/>
            <w:calcOnExit w:val="0"/>
            <w:textInput>
              <w:default w:val="TT.MM.JJJJ"/>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TT.MM.JJJJ</w:t>
      </w:r>
      <w:r>
        <w:rPr>
          <w:rFonts w:cs="Arial"/>
          <w:sz w:val="18"/>
          <w:szCs w:val="18"/>
          <w:highlight w:val="yellow"/>
        </w:rPr>
        <w:fldChar w:fldCharType="end"/>
      </w:r>
      <w:r>
        <w:rPr>
          <w:rFonts w:cs="Arial"/>
          <w:sz w:val="18"/>
          <w:szCs w:val="18"/>
        </w:rPr>
        <w:t xml:space="preserve"> </w:t>
      </w:r>
    </w:p>
    <w:p w:rsidR="00514D8B" w:rsidRDefault="00EE4096">
      <w:pPr>
        <w:spacing w:line="260" w:lineRule="exact"/>
        <w:ind w:left="1800" w:hanging="1260"/>
        <w:jc w:val="both"/>
        <w:rPr>
          <w:rFonts w:cs="Arial"/>
          <w:sz w:val="18"/>
          <w:szCs w:val="18"/>
        </w:rPr>
      </w:pPr>
      <w:r>
        <w:rPr>
          <w:sz w:val="18"/>
          <w:szCs w:val="18"/>
        </w:rPr>
        <w:t>- Anlage 4</w:t>
      </w:r>
      <w:r>
        <w:rPr>
          <w:rFonts w:cs="Arial"/>
          <w:sz w:val="18"/>
          <w:szCs w:val="18"/>
        </w:rPr>
        <w:tab/>
        <w:t>AVBFernwärmeV</w:t>
      </w:r>
    </w:p>
    <w:bookmarkStart w:id="88" w:name="Text117"/>
    <w:p w:rsidR="00514D8B" w:rsidRDefault="00EE4096">
      <w:pPr>
        <w:spacing w:line="260" w:lineRule="exact"/>
        <w:ind w:left="540"/>
        <w:jc w:val="both"/>
        <w:rPr>
          <w:sz w:val="18"/>
          <w:szCs w:val="18"/>
        </w:rPr>
      </w:pPr>
      <w:r>
        <w:rPr>
          <w:b/>
          <w:sz w:val="18"/>
          <w:szCs w:val="18"/>
          <w:highlight w:val="yellow"/>
        </w:rPr>
        <w:fldChar w:fldCharType="begin">
          <w:ffData>
            <w:name w:val="Text117"/>
            <w:enabled/>
            <w:calcOnExit w:val="0"/>
            <w:textInput>
              <w:default w:val="bei Bedarf weitere Anlagen einfügen"/>
            </w:textInput>
          </w:ffData>
        </w:fldChar>
      </w:r>
      <w:r>
        <w:rPr>
          <w:b/>
          <w:sz w:val="18"/>
          <w:szCs w:val="18"/>
          <w:highlight w:val="yellow"/>
        </w:rPr>
        <w:instrText xml:space="preserve"> FORMTEXT </w:instrText>
      </w:r>
      <w:r>
        <w:rPr>
          <w:b/>
          <w:sz w:val="18"/>
          <w:szCs w:val="18"/>
          <w:highlight w:val="yellow"/>
        </w:rPr>
      </w:r>
      <w:r>
        <w:rPr>
          <w:b/>
          <w:sz w:val="18"/>
          <w:szCs w:val="18"/>
          <w:highlight w:val="yellow"/>
        </w:rPr>
        <w:fldChar w:fldCharType="separate"/>
      </w:r>
      <w:r>
        <w:rPr>
          <w:b/>
          <w:noProof/>
          <w:sz w:val="18"/>
          <w:szCs w:val="18"/>
          <w:highlight w:val="yellow"/>
        </w:rPr>
        <w:t>bei Bedarf weitere Anlagen einfügen</w:t>
      </w:r>
      <w:r>
        <w:rPr>
          <w:b/>
          <w:sz w:val="18"/>
          <w:szCs w:val="18"/>
          <w:highlight w:val="yellow"/>
        </w:rPr>
        <w:fldChar w:fldCharType="end"/>
      </w:r>
      <w:bookmarkEnd w:id="88"/>
    </w:p>
    <w:p w:rsidR="00514D8B" w:rsidRDefault="00514D8B">
      <w:pPr>
        <w:spacing w:line="260" w:lineRule="exact"/>
        <w:ind w:left="567"/>
        <w:jc w:val="both"/>
        <w:rPr>
          <w:rFonts w:cs="Arial"/>
          <w:sz w:val="18"/>
          <w:szCs w:val="18"/>
        </w:rPr>
      </w:pPr>
    </w:p>
    <w:p w:rsidR="00514D8B" w:rsidRDefault="00EE4096">
      <w:pPr>
        <w:spacing w:line="260" w:lineRule="exact"/>
        <w:ind w:left="567"/>
        <w:jc w:val="both"/>
        <w:rPr>
          <w:rFonts w:cs="Arial"/>
          <w:sz w:val="18"/>
          <w:szCs w:val="18"/>
        </w:rPr>
      </w:pPr>
      <w:r>
        <w:rPr>
          <w:rFonts w:cs="Arial"/>
          <w:sz w:val="18"/>
          <w:szCs w:val="18"/>
        </w:rPr>
        <w:t>sind Vertragsbestandteile.</w:t>
      </w:r>
    </w:p>
    <w:sectPr w:rsidR="00514D8B">
      <w:headerReference w:type="default" r:id="rId20"/>
      <w:pgSz w:w="11906" w:h="16838" w:code="9"/>
      <w:pgMar w:top="1418" w:right="1418" w:bottom="1134" w:left="1418"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F7C" w:rsidRDefault="00D61F7C">
      <w:r>
        <w:separator/>
      </w:r>
    </w:p>
  </w:endnote>
  <w:endnote w:type="continuationSeparator" w:id="0">
    <w:p w:rsidR="00D61F7C" w:rsidRDefault="00D61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D13" w:rsidRDefault="00242D1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8B" w:rsidRDefault="00EE4096">
    <w:pPr>
      <w:pStyle w:val="Fuzeile"/>
      <w:tabs>
        <w:tab w:val="clear" w:pos="4536"/>
        <w:tab w:val="center" w:pos="8500"/>
      </w:tabs>
      <w:rPr>
        <w:rFonts w:cs="Arial"/>
        <w:sz w:val="14"/>
        <w:szCs w:val="14"/>
      </w:rPr>
    </w:pP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sidR="00242D13">
      <w:rPr>
        <w:rStyle w:val="Seitenzahl"/>
        <w:rFonts w:cs="Arial"/>
        <w:noProof/>
        <w:sz w:val="14"/>
        <w:szCs w:val="14"/>
      </w:rPr>
      <w:t>1</w:t>
    </w:r>
    <w:r>
      <w:rPr>
        <w:rStyle w:val="Seitenzahl"/>
        <w:rFonts w:cs="Arial"/>
        <w:sz w:val="14"/>
        <w:szCs w:val="14"/>
      </w:rPr>
      <w:fldChar w:fldCharType="end"/>
    </w:r>
    <w:r>
      <w:rPr>
        <w:rStyle w:val="Seitenzahl"/>
        <w:rFonts w:cs="Arial"/>
        <w:sz w:val="14"/>
        <w:szCs w:val="14"/>
      </w:rPr>
      <w:t xml:space="preserve"> 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242D13">
      <w:rPr>
        <w:rStyle w:val="Seitenzahl"/>
        <w:noProof/>
        <w:sz w:val="14"/>
        <w:szCs w:val="14"/>
      </w:rPr>
      <w:t>19</w:t>
    </w:r>
    <w:r>
      <w:rPr>
        <w:rStyle w:val="Seitenzahl"/>
        <w:sz w:val="14"/>
        <w:szCs w:val="14"/>
      </w:rPr>
      <w:fldChar w:fldCharType="end"/>
    </w:r>
    <w:r>
      <w:rPr>
        <w:rStyle w:val="Seitenzahl"/>
        <w:rFonts w:cs="Arial"/>
        <w:sz w:val="14"/>
        <w:szCs w:val="14"/>
      </w:rPr>
      <w:tab/>
    </w:r>
    <w:r>
      <w:rPr>
        <w:rFonts w:cs="Arial"/>
        <w:sz w:val="14"/>
        <w:szCs w:val="14"/>
      </w:rPr>
      <w:t xml:space="preserve">Leitfaden Contracting der Bayerischen Staatlichen Hochbauverwaltung, Stand: </w:t>
    </w:r>
    <w:r w:rsidR="002F3659">
      <w:rPr>
        <w:rFonts w:cs="Arial"/>
        <w:sz w:val="14"/>
        <w:szCs w:val="14"/>
      </w:rPr>
      <w:t>Dezember</w:t>
    </w:r>
    <w:r w:rsidR="004D003A">
      <w:rPr>
        <w:rFonts w:cs="Arial"/>
        <w:sz w:val="14"/>
        <w:szCs w:val="14"/>
      </w:rPr>
      <w:t>/2017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8B" w:rsidRDefault="00EE4096">
    <w:pPr>
      <w:pStyle w:val="Fuzeile"/>
      <w:tabs>
        <w:tab w:val="clear" w:pos="4536"/>
        <w:tab w:val="clear" w:pos="9072"/>
        <w:tab w:val="left" w:pos="7245"/>
        <w:tab w:val="center" w:pos="8500"/>
      </w:tabs>
      <w:rPr>
        <w:rStyle w:val="Seitenzahl"/>
        <w:rFonts w:cs="Arial"/>
        <w:sz w:val="14"/>
        <w:szCs w:val="14"/>
      </w:rPr>
    </w:pPr>
    <w:r>
      <w:rPr>
        <w:noProof/>
      </w:rPr>
      <mc:AlternateContent>
        <mc:Choice Requires="wps">
          <w:drawing>
            <wp:anchor distT="0" distB="0" distL="114300" distR="114300" simplePos="0" relativeHeight="251657216" behindDoc="0" locked="0" layoutInCell="1" allowOverlap="1" wp14:anchorId="428D8E8F" wp14:editId="4BA2D9F7">
              <wp:simplePos x="0" y="0"/>
              <wp:positionH relativeFrom="column">
                <wp:posOffset>0</wp:posOffset>
              </wp:positionH>
              <wp:positionV relativeFrom="paragraph">
                <wp:posOffset>-59055</wp:posOffset>
              </wp:positionV>
              <wp:extent cx="5829300" cy="0"/>
              <wp:effectExtent l="9525" t="7620" r="9525" b="1143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65pt" to="459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nYEwIAACg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"/>
          </w:pict>
        </mc:Fallback>
      </mc:AlternateContent>
    </w: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Pr>
        <w:rStyle w:val="Seitenzahl"/>
        <w:rFonts w:cs="Arial"/>
        <w:noProof/>
        <w:sz w:val="14"/>
        <w:szCs w:val="14"/>
      </w:rPr>
      <w:t>24</w:t>
    </w:r>
    <w:r>
      <w:rPr>
        <w:rStyle w:val="Seitenzahl"/>
        <w:rFonts w:cs="Arial"/>
        <w:sz w:val="14"/>
        <w:szCs w:val="14"/>
      </w:rPr>
      <w:fldChar w:fldCharType="end"/>
    </w:r>
    <w:r>
      <w:rPr>
        <w:rStyle w:val="Seitenzahl"/>
        <w:rFonts w:cs="Arial"/>
        <w:sz w:val="14"/>
        <w:szCs w:val="14"/>
      </w:rPr>
      <w:t xml:space="preserve"> 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DE6DD6">
      <w:rPr>
        <w:rStyle w:val="Seitenzahl"/>
        <w:noProof/>
        <w:sz w:val="14"/>
        <w:szCs w:val="14"/>
      </w:rPr>
      <w:t>19</w:t>
    </w:r>
    <w:r>
      <w:rPr>
        <w:rStyle w:val="Seitenzahl"/>
        <w:sz w:val="14"/>
        <w:szCs w:val="14"/>
      </w:rPr>
      <w:fldChar w:fldCharType="end"/>
    </w:r>
    <w:r>
      <w:rPr>
        <w:rStyle w:val="Seitenzahl"/>
        <w:rFonts w:cs="Arial"/>
        <w:sz w:val="14"/>
        <w:szCs w:val="14"/>
      </w:rPr>
      <w:t xml:space="preserve">                                                        </w:t>
    </w:r>
    <w:r>
      <w:rPr>
        <w:rFonts w:cs="Arial"/>
        <w:sz w:val="14"/>
        <w:szCs w:val="14"/>
      </w:rPr>
      <w:t>Leitfaden Contracting der Bayerischen Staatlichen Hochbauverwaltung, Stand: September/2010</w:t>
    </w:r>
    <w:r>
      <w:rPr>
        <w:rFonts w:cs="Arial"/>
        <w:sz w:val="14"/>
        <w:szCs w:val="14"/>
      </w:rPr>
      <w:tab/>
    </w:r>
    <w:r>
      <w:rPr>
        <w:rFonts w:cs="Arial"/>
        <w:sz w:val="14"/>
        <w:szCs w:val="14"/>
      </w:rPr>
      <w:tab/>
    </w:r>
  </w:p>
  <w:p w:rsidR="00514D8B" w:rsidRDefault="00EE4096">
    <w:pPr>
      <w:pStyle w:val="Fuzeile"/>
      <w:numPr>
        <w:ilvl w:val="0"/>
        <w:numId w:val="16"/>
      </w:numPr>
      <w:tabs>
        <w:tab w:val="clear" w:pos="4536"/>
        <w:tab w:val="center" w:pos="8500"/>
      </w:tabs>
      <w:spacing w:line="220" w:lineRule="exact"/>
      <w:rPr>
        <w:rFonts w:cs="Arial"/>
        <w:sz w:val="14"/>
        <w:szCs w:val="14"/>
      </w:rPr>
    </w:pPr>
    <w:r>
      <w:rPr>
        <w:sz w:val="14"/>
        <w:szCs w:val="14"/>
      </w:rPr>
      <w:t>wird bei Vertragsabschluss eingetragen</w:t>
    </w:r>
  </w:p>
  <w:p w:rsidR="00514D8B" w:rsidRDefault="00514D8B">
    <w:pPr>
      <w:pStyle w:val="Fuzeile"/>
      <w:tabs>
        <w:tab w:val="clear" w:pos="4536"/>
        <w:tab w:val="center" w:pos="8500"/>
      </w:tabs>
      <w:rPr>
        <w:rFonts w:cs="Arial"/>
        <w:b/>
        <w:sz w:val="14"/>
        <w:szCs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8B" w:rsidRDefault="00EE4096">
    <w:pPr>
      <w:pStyle w:val="Fuzeile"/>
      <w:tabs>
        <w:tab w:val="clear" w:pos="4536"/>
        <w:tab w:val="center" w:pos="8500"/>
      </w:tabs>
      <w:rPr>
        <w:sz w:val="14"/>
        <w:szCs w:val="14"/>
      </w:rPr>
    </w:pP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sidR="00242D13">
      <w:rPr>
        <w:rStyle w:val="Seitenzahl"/>
        <w:rFonts w:cs="Arial"/>
        <w:noProof/>
        <w:sz w:val="14"/>
        <w:szCs w:val="14"/>
      </w:rPr>
      <w:t>19</w:t>
    </w:r>
    <w:r>
      <w:rPr>
        <w:rStyle w:val="Seitenzahl"/>
        <w:rFonts w:cs="Arial"/>
        <w:sz w:val="14"/>
        <w:szCs w:val="14"/>
      </w:rPr>
      <w:fldChar w:fldCharType="end"/>
    </w:r>
    <w:r>
      <w:rPr>
        <w:rStyle w:val="Seitenzahl"/>
        <w:rFonts w:cs="Arial"/>
        <w:sz w:val="14"/>
        <w:szCs w:val="14"/>
      </w:rPr>
      <w:t xml:space="preserve"> 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242D13">
      <w:rPr>
        <w:rStyle w:val="Seitenzahl"/>
        <w:noProof/>
        <w:sz w:val="14"/>
        <w:szCs w:val="14"/>
      </w:rPr>
      <w:t>19</w:t>
    </w:r>
    <w:r>
      <w:rPr>
        <w:rStyle w:val="Seitenzahl"/>
        <w:sz w:val="14"/>
        <w:szCs w:val="14"/>
      </w:rPr>
      <w:fldChar w:fldCharType="end"/>
    </w:r>
    <w:r>
      <w:rPr>
        <w:rStyle w:val="Seitenzahl"/>
        <w:rFonts w:cs="Arial"/>
        <w:sz w:val="14"/>
        <w:szCs w:val="14"/>
      </w:rPr>
      <w:tab/>
    </w:r>
    <w:r>
      <w:rPr>
        <w:rFonts w:cs="Arial"/>
        <w:sz w:val="14"/>
        <w:szCs w:val="14"/>
      </w:rPr>
      <w:t xml:space="preserve">Leitfaden Contracting der Bayerischen Staatlichen Hochbauverwaltung, Stand: </w:t>
    </w:r>
    <w:r w:rsidR="002F3659">
      <w:rPr>
        <w:rFonts w:cs="Arial"/>
        <w:sz w:val="14"/>
        <w:szCs w:val="14"/>
      </w:rPr>
      <w:t>Dezember</w:t>
    </w:r>
    <w:r w:rsidR="004D003A">
      <w:rPr>
        <w:rFonts w:cs="Arial"/>
        <w:sz w:val="14"/>
        <w:szCs w:val="14"/>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F7C" w:rsidRDefault="00D61F7C">
      <w:r>
        <w:separator/>
      </w:r>
    </w:p>
  </w:footnote>
  <w:footnote w:type="continuationSeparator" w:id="0">
    <w:p w:rsidR="00D61F7C" w:rsidRDefault="00D61F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D13" w:rsidRDefault="00242D1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8B" w:rsidRDefault="00EE4096">
    <w:pPr>
      <w:pStyle w:val="Kopfzeile"/>
    </w:pPr>
    <w:r>
      <w:rPr>
        <w:rFonts w:cs="Arial"/>
        <w:b/>
        <w:color w:val="00CCFF"/>
        <w:sz w:val="18"/>
        <w:szCs w:val="18"/>
      </w:rPr>
      <w:t>Energieliefer-Contracting</w:t>
    </w:r>
    <w:r>
      <w:rPr>
        <w:rFonts w:cs="Arial"/>
        <w:b/>
        <w:color w:val="999999"/>
        <w:sz w:val="18"/>
        <w:szCs w:val="18"/>
      </w:rPr>
      <w:t xml:space="preserve"> | Energieliefervertrag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8B" w:rsidRDefault="00EE4096">
    <w:pPr>
      <w:pStyle w:val="Kopfzeile"/>
    </w:pPr>
    <w:r>
      <w:rPr>
        <w:rFonts w:cs="Arial"/>
        <w:b/>
        <w:color w:val="00CCFF"/>
        <w:sz w:val="18"/>
        <w:szCs w:val="18"/>
      </w:rPr>
      <w:t>Energieliefer-Contracting</w:t>
    </w:r>
    <w:r>
      <w:rPr>
        <w:rFonts w:cs="Arial"/>
        <w:b/>
        <w:color w:val="999999"/>
        <w:sz w:val="18"/>
        <w:szCs w:val="18"/>
      </w:rPr>
      <w:t xml:space="preserve"> | Wärmelieferungsvertrag</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8B" w:rsidRDefault="00EE4096">
    <w:pPr>
      <w:pStyle w:val="Kopfzeile"/>
    </w:pPr>
    <w:r>
      <w:rPr>
        <w:rFonts w:cs="Arial"/>
        <w:noProof/>
        <w:sz w:val="14"/>
        <w:szCs w:val="14"/>
      </w:rPr>
      <mc:AlternateContent>
        <mc:Choice Requires="wps">
          <w:drawing>
            <wp:anchor distT="0" distB="0" distL="114300" distR="114300" simplePos="0" relativeHeight="251658240" behindDoc="0" locked="0" layoutInCell="1" allowOverlap="1">
              <wp:simplePos x="0" y="0"/>
              <wp:positionH relativeFrom="column">
                <wp:posOffset>-914400</wp:posOffset>
              </wp:positionH>
              <wp:positionV relativeFrom="paragraph">
                <wp:posOffset>-599440</wp:posOffset>
              </wp:positionV>
              <wp:extent cx="5843270" cy="93345"/>
              <wp:effectExtent l="9525" t="10160" r="5080" b="1079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43270" cy="933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47.2pt" to="388.1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"/>
          </w:pict>
        </mc:Fallback>
      </mc:AlternateContent>
    </w:r>
    <w:r>
      <w:rPr>
        <w:rFonts w:cs="Arial"/>
        <w:b/>
        <w:color w:val="00CCFF"/>
        <w:sz w:val="18"/>
        <w:szCs w:val="18"/>
      </w:rPr>
      <w:t>Energieliefer-Contracting</w:t>
    </w:r>
    <w:r>
      <w:rPr>
        <w:rFonts w:cs="Arial"/>
        <w:b/>
        <w:color w:val="999999"/>
        <w:sz w:val="18"/>
        <w:szCs w:val="18"/>
      </w:rPr>
      <w:t xml:space="preserve"> | Energieliefervertrag</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8B" w:rsidRDefault="00EE4096">
    <w:pPr>
      <w:pStyle w:val="Kopfzeile"/>
    </w:pPr>
    <w:r>
      <w:rPr>
        <w:rFonts w:cs="Arial"/>
        <w:b/>
        <w:color w:val="00CCFF"/>
        <w:sz w:val="18"/>
        <w:szCs w:val="18"/>
      </w:rPr>
      <w:t>Energieliefer-Contracting</w:t>
    </w:r>
    <w:r>
      <w:rPr>
        <w:rFonts w:cs="Arial"/>
        <w:b/>
        <w:color w:val="999999"/>
        <w:sz w:val="18"/>
        <w:szCs w:val="18"/>
      </w:rPr>
      <w:t xml:space="preserve"> | Energieliefervertrag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FECF9C4"/>
    <w:lvl w:ilvl="0">
      <w:numFmt w:val="decimal"/>
      <w:pStyle w:val="berschrift1"/>
      <w:lvlText w:val="%1"/>
      <w:lvlJc w:val="left"/>
      <w:pPr>
        <w:tabs>
          <w:tab w:val="num" w:pos="567"/>
        </w:tabs>
        <w:ind w:left="567" w:hanging="567"/>
      </w:pPr>
      <w:rPr>
        <w:rFonts w:cs="Times New Roman"/>
      </w:rPr>
    </w:lvl>
    <w:lvl w:ilvl="1">
      <w:start w:val="1"/>
      <w:numFmt w:val="decimal"/>
      <w:pStyle w:val="berschrift2"/>
      <w:lvlText w:val="%1.%2"/>
      <w:lvlJc w:val="left"/>
      <w:pPr>
        <w:tabs>
          <w:tab w:val="num" w:pos="567"/>
        </w:tabs>
        <w:ind w:left="567" w:hanging="567"/>
      </w:pPr>
      <w:rPr>
        <w:rFonts w:cs="Times New Roman"/>
        <w:color w:val="auto"/>
      </w:rPr>
    </w:lvl>
    <w:lvl w:ilvl="2">
      <w:start w:val="1"/>
      <w:numFmt w:val="decimal"/>
      <w:lvlText w:val="%1.%2.%3"/>
      <w:lvlJc w:val="left"/>
      <w:pPr>
        <w:tabs>
          <w:tab w:val="num" w:pos="0"/>
        </w:tabs>
      </w:pPr>
      <w:rPr>
        <w:rFonts w:cs="Times New Roman"/>
      </w:rPr>
    </w:lvl>
    <w:lvl w:ilvl="3">
      <w:start w:val="1"/>
      <w:numFmt w:val="decimal"/>
      <w:pStyle w:val="berschrift4"/>
      <w:lvlText w:val="%1.%2.%3.%4"/>
      <w:lvlJc w:val="left"/>
      <w:pPr>
        <w:tabs>
          <w:tab w:val="num" w:pos="0"/>
        </w:tabs>
      </w:pPr>
      <w:rPr>
        <w:rFonts w:cs="Times New Roman"/>
      </w:rPr>
    </w:lvl>
    <w:lvl w:ilvl="4">
      <w:start w:val="1"/>
      <w:numFmt w:val="decimal"/>
      <w:pStyle w:val="berschrift5"/>
      <w:lvlText w:val="%1.%2.%3.%4.%5"/>
      <w:lvlJc w:val="left"/>
      <w:pPr>
        <w:tabs>
          <w:tab w:val="num" w:pos="0"/>
        </w:tabs>
      </w:pPr>
      <w:rPr>
        <w:rFonts w:cs="Times New Roman"/>
      </w:rPr>
    </w:lvl>
    <w:lvl w:ilvl="5">
      <w:start w:val="1"/>
      <w:numFmt w:val="decimal"/>
      <w:pStyle w:val="berschrift6"/>
      <w:lvlText w:val="%1.%2.%3.%4.%5.%6"/>
      <w:lvlJc w:val="left"/>
      <w:pPr>
        <w:tabs>
          <w:tab w:val="num" w:pos="0"/>
        </w:tabs>
      </w:pPr>
      <w:rPr>
        <w:rFonts w:cs="Times New Roman"/>
      </w:rPr>
    </w:lvl>
    <w:lvl w:ilvl="6">
      <w:start w:val="1"/>
      <w:numFmt w:val="decimal"/>
      <w:pStyle w:val="berschrift7"/>
      <w:lvlText w:val="%1.%2.%3.%4.%5.%6.%7"/>
      <w:lvlJc w:val="left"/>
      <w:pPr>
        <w:tabs>
          <w:tab w:val="num" w:pos="0"/>
        </w:tabs>
      </w:pPr>
      <w:rPr>
        <w:rFonts w:cs="Times New Roman"/>
      </w:rPr>
    </w:lvl>
    <w:lvl w:ilvl="7">
      <w:start w:val="1"/>
      <w:numFmt w:val="decimal"/>
      <w:pStyle w:val="berschrift8"/>
      <w:lvlText w:val="%1.%2.%3.%4.%5.%6.%7.%8"/>
      <w:lvlJc w:val="left"/>
      <w:pPr>
        <w:tabs>
          <w:tab w:val="num" w:pos="0"/>
        </w:tabs>
      </w:pPr>
      <w:rPr>
        <w:rFonts w:cs="Times New Roman"/>
      </w:rPr>
    </w:lvl>
    <w:lvl w:ilvl="8">
      <w:start w:val="1"/>
      <w:numFmt w:val="decimal"/>
      <w:pStyle w:val="berschrift9"/>
      <w:lvlText w:val="%1.%2.%3.%4.%5.%6.%7.%8.%9"/>
      <w:lvlJc w:val="left"/>
      <w:pPr>
        <w:tabs>
          <w:tab w:val="num" w:pos="0"/>
        </w:tabs>
      </w:pPr>
      <w:rPr>
        <w:rFonts w:cs="Times New Roman"/>
      </w:rPr>
    </w:lvl>
  </w:abstractNum>
  <w:abstractNum w:abstractNumId="1">
    <w:nsid w:val="03580249"/>
    <w:multiLevelType w:val="multilevel"/>
    <w:tmpl w:val="7102ECD8"/>
    <w:lvl w:ilvl="0">
      <w:numFmt w:val="decimal"/>
      <w:lvlText w:val="%1."/>
      <w:lvlJc w:val="left"/>
      <w:pPr>
        <w:tabs>
          <w:tab w:val="num" w:pos="737"/>
        </w:tabs>
      </w:pPr>
      <w:rPr>
        <w:rFonts w:ascii="Arial" w:hAnsi="Arial" w:cs="Times New Roman" w:hint="default"/>
        <w:b/>
        <w:i w:val="0"/>
        <w:color w:val="00CCFF"/>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color w:val="999999"/>
        <w:sz w:val="18"/>
        <w:szCs w:val="18"/>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nsid w:val="047E041B"/>
    <w:multiLevelType w:val="multilevel"/>
    <w:tmpl w:val="A31CED62"/>
    <w:lvl w:ilvl="0">
      <w:start w:val="1"/>
      <w:numFmt w:val="bullet"/>
      <w:lvlText w:val=""/>
      <w:lvlJc w:val="left"/>
      <w:pPr>
        <w:tabs>
          <w:tab w:val="num" w:pos="890"/>
        </w:tabs>
        <w:ind w:left="890" w:hanging="17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568215D"/>
    <w:multiLevelType w:val="multilevel"/>
    <w:tmpl w:val="A5BA5982"/>
    <w:lvl w:ilvl="0">
      <w:numFmt w:val="decimal"/>
      <w:lvlText w:val="%1."/>
      <w:lvlJc w:val="left"/>
      <w:pPr>
        <w:tabs>
          <w:tab w:val="num" w:pos="567"/>
        </w:tabs>
        <w:ind w:left="567" w:hanging="567"/>
      </w:pPr>
      <w:rPr>
        <w:rFonts w:ascii="Arial" w:hAnsi="Arial"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E1274B0"/>
    <w:multiLevelType w:val="multilevel"/>
    <w:tmpl w:val="42DC4090"/>
    <w:lvl w:ilvl="0">
      <w:numFmt w:val="decimal"/>
      <w:lvlText w:val="%1."/>
      <w:lvlJc w:val="left"/>
      <w:pPr>
        <w:tabs>
          <w:tab w:val="num" w:pos="0"/>
        </w:tabs>
      </w:pPr>
      <w:rPr>
        <w:rFonts w:ascii="Arial" w:hAnsi="Arial" w:cs="Times New Roman" w:hint="default"/>
        <w:b/>
        <w:i w:val="0"/>
        <w:sz w:val="24"/>
      </w:rPr>
    </w:lvl>
    <w:lvl w:ilvl="1">
      <w:start w:val="1"/>
      <w:numFmt w:val="decimal"/>
      <w:lvlText w:val="%1.%2."/>
      <w:lvlJc w:val="left"/>
      <w:pPr>
        <w:tabs>
          <w:tab w:val="num" w:pos="0"/>
        </w:tabs>
      </w:pPr>
      <w:rPr>
        <w:rFonts w:ascii="Arial" w:hAnsi="Arial" w:cs="Times New Roman" w:hint="default"/>
        <w:b/>
        <w:i w:val="0"/>
        <w:sz w:val="24"/>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14885666"/>
    <w:multiLevelType w:val="multilevel"/>
    <w:tmpl w:val="04070025"/>
    <w:lvl w:ilvl="0">
      <w:start w:val="1"/>
      <w:numFmt w:val="decimal"/>
      <w:lvlText w:val="%1"/>
      <w:lvlJc w:val="left"/>
      <w:pPr>
        <w:tabs>
          <w:tab w:val="num" w:pos="432"/>
        </w:tabs>
        <w:ind w:left="432" w:hanging="432"/>
      </w:pPr>
      <w:rPr>
        <w:rFonts w:cs="Times New Roman" w:hint="default"/>
        <w:b/>
        <w:i w:val="0"/>
        <w:sz w:val="20"/>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14C16306"/>
    <w:multiLevelType w:val="multilevel"/>
    <w:tmpl w:val="C1DED4C6"/>
    <w:lvl w:ilvl="0">
      <w:numFmt w:val="decimal"/>
      <w:lvlText w:val="%1."/>
      <w:lvlJc w:val="left"/>
      <w:pPr>
        <w:tabs>
          <w:tab w:val="num" w:pos="567"/>
        </w:tabs>
        <w:ind w:left="567" w:hanging="567"/>
      </w:pPr>
      <w:rPr>
        <w:rFonts w:ascii="Arial" w:hAnsi="Arial"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ECB04F3"/>
    <w:multiLevelType w:val="multilevel"/>
    <w:tmpl w:val="7102ECD8"/>
    <w:lvl w:ilvl="0">
      <w:numFmt w:val="decimal"/>
      <w:lvlText w:val="%1."/>
      <w:lvlJc w:val="left"/>
      <w:pPr>
        <w:tabs>
          <w:tab w:val="num" w:pos="737"/>
        </w:tabs>
      </w:pPr>
      <w:rPr>
        <w:rFonts w:ascii="Arial" w:hAnsi="Arial" w:cs="Times New Roman" w:hint="default"/>
        <w:b/>
        <w:i w:val="0"/>
        <w:color w:val="00CCFF"/>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color w:val="999999"/>
        <w:sz w:val="18"/>
        <w:szCs w:val="18"/>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25AA2A15"/>
    <w:multiLevelType w:val="singleLevel"/>
    <w:tmpl w:val="4816F4EA"/>
    <w:lvl w:ilvl="0">
      <w:start w:val="1"/>
      <w:numFmt w:val="bullet"/>
      <w:pStyle w:val="berschrift2-TextA"/>
      <w:lvlText w:val=""/>
      <w:lvlJc w:val="left"/>
      <w:pPr>
        <w:tabs>
          <w:tab w:val="num" w:pos="1070"/>
        </w:tabs>
        <w:ind w:left="1070" w:hanging="360"/>
      </w:pPr>
      <w:rPr>
        <w:rFonts w:ascii="Wingdings" w:hAnsi="Wingdings" w:hint="default"/>
      </w:rPr>
    </w:lvl>
  </w:abstractNum>
  <w:abstractNum w:abstractNumId="9">
    <w:nsid w:val="2F0A4C4D"/>
    <w:multiLevelType w:val="hybridMultilevel"/>
    <w:tmpl w:val="72FE0FBC"/>
    <w:lvl w:ilvl="0" w:tplc="EBBAF04E">
      <w:start w:val="1"/>
      <w:numFmt w:val="decimal"/>
      <w:lvlText w:val="%1)"/>
      <w:lvlJc w:val="left"/>
      <w:pPr>
        <w:tabs>
          <w:tab w:val="num" w:pos="720"/>
        </w:tabs>
        <w:ind w:left="720" w:hanging="360"/>
      </w:pPr>
      <w:rPr>
        <w:rFonts w:cs="Times New Roman" w:hint="default"/>
        <w:vertAlign w:val="superscrip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30F60650"/>
    <w:multiLevelType w:val="hybridMultilevel"/>
    <w:tmpl w:val="906867D6"/>
    <w:lvl w:ilvl="0" w:tplc="EBDCD6C2">
      <w:start w:val="1"/>
      <w:numFmt w:val="decimal"/>
      <w:lvlText w:val="%1)"/>
      <w:lvlJc w:val="left"/>
      <w:pPr>
        <w:tabs>
          <w:tab w:val="num" w:pos="170"/>
        </w:tabs>
        <w:ind w:left="170" w:hanging="17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1">
    <w:nsid w:val="32621C9B"/>
    <w:multiLevelType w:val="hybridMultilevel"/>
    <w:tmpl w:val="28CEEBA4"/>
    <w:lvl w:ilvl="0" w:tplc="BA5280F0">
      <w:start w:val="1"/>
      <w:numFmt w:val="bullet"/>
      <w:lvlText w:val=""/>
      <w:lvlJc w:val="left"/>
      <w:pPr>
        <w:tabs>
          <w:tab w:val="num" w:pos="567"/>
        </w:tabs>
        <w:ind w:left="567"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840380C"/>
    <w:multiLevelType w:val="multilevel"/>
    <w:tmpl w:val="58345B44"/>
    <w:lvl w:ilvl="0">
      <w:numFmt w:val="decimal"/>
      <w:lvlText w:val="%1."/>
      <w:lvlJc w:val="left"/>
      <w:pPr>
        <w:tabs>
          <w:tab w:val="num" w:pos="0"/>
        </w:tabs>
      </w:pPr>
      <w:rPr>
        <w:rFonts w:ascii="Arial" w:hAnsi="Arial" w:cs="Times New Roman" w:hint="default"/>
        <w:b/>
        <w:i w:val="0"/>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38A83B3D"/>
    <w:multiLevelType w:val="multilevel"/>
    <w:tmpl w:val="0F0EE354"/>
    <w:lvl w:ilvl="0">
      <w:numFmt w:val="decimal"/>
      <w:lvlText w:val="%1."/>
      <w:lvlJc w:val="left"/>
      <w:pPr>
        <w:tabs>
          <w:tab w:val="num" w:pos="737"/>
        </w:tabs>
      </w:pPr>
      <w:rPr>
        <w:rFonts w:ascii="Arial" w:hAnsi="Arial" w:cs="Times New Roman" w:hint="default"/>
        <w:b/>
        <w:i w:val="0"/>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3B6270EB"/>
    <w:multiLevelType w:val="multilevel"/>
    <w:tmpl w:val="906867D6"/>
    <w:lvl w:ilvl="0">
      <w:start w:val="1"/>
      <w:numFmt w:val="decimal"/>
      <w:lvlText w:val="%1)"/>
      <w:lvlJc w:val="left"/>
      <w:pPr>
        <w:tabs>
          <w:tab w:val="num" w:pos="170"/>
        </w:tabs>
        <w:ind w:left="170" w:hanging="17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nsid w:val="42310105"/>
    <w:multiLevelType w:val="hybridMultilevel"/>
    <w:tmpl w:val="A31CED62"/>
    <w:lvl w:ilvl="0" w:tplc="D6DEBB72">
      <w:start w:val="1"/>
      <w:numFmt w:val="bullet"/>
      <w:lvlText w:val=""/>
      <w:lvlJc w:val="left"/>
      <w:pPr>
        <w:tabs>
          <w:tab w:val="num" w:pos="890"/>
        </w:tabs>
        <w:ind w:left="89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43694649"/>
    <w:multiLevelType w:val="hybridMultilevel"/>
    <w:tmpl w:val="2BF6CEF6"/>
    <w:lvl w:ilvl="0" w:tplc="C2BC431C">
      <w:start w:val="1"/>
      <w:numFmt w:val="bullet"/>
      <w:lvlText w:val=""/>
      <w:lvlJc w:val="left"/>
      <w:pPr>
        <w:tabs>
          <w:tab w:val="num" w:pos="1287"/>
        </w:tabs>
        <w:ind w:left="1287" w:hanging="360"/>
      </w:pPr>
      <w:rPr>
        <w:rFonts w:ascii="Symbol" w:hAnsi="Symbol" w:hint="default"/>
        <w:sz w:val="18"/>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7">
    <w:nsid w:val="50910699"/>
    <w:multiLevelType w:val="hybridMultilevel"/>
    <w:tmpl w:val="F7925150"/>
    <w:lvl w:ilvl="0" w:tplc="D646EED2">
      <w:start w:val="1"/>
      <w:numFmt w:val="bullet"/>
      <w:pStyle w:val="Standard-Eingezogen"/>
      <w:lvlText w:val="­"/>
      <w:lvlJc w:val="left"/>
      <w:pPr>
        <w:tabs>
          <w:tab w:val="num" w:pos="417"/>
        </w:tabs>
        <w:ind w:left="417"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531349E8"/>
    <w:multiLevelType w:val="multilevel"/>
    <w:tmpl w:val="FF4EE690"/>
    <w:lvl w:ilvl="0">
      <w:numFmt w:val="decimal"/>
      <w:lvlText w:val="%1."/>
      <w:lvlJc w:val="left"/>
      <w:pPr>
        <w:tabs>
          <w:tab w:val="num" w:pos="680"/>
        </w:tabs>
      </w:pPr>
      <w:rPr>
        <w:rFonts w:ascii="Arial" w:hAnsi="Arial" w:cs="Times New Roman" w:hint="default"/>
        <w:b/>
        <w:i w:val="0"/>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nsid w:val="55764FDB"/>
    <w:multiLevelType w:val="multilevel"/>
    <w:tmpl w:val="84AE7AF6"/>
    <w:lvl w:ilvl="0">
      <w:numFmt w:val="decimal"/>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nsid w:val="5DEF512A"/>
    <w:multiLevelType w:val="hybridMultilevel"/>
    <w:tmpl w:val="1E2608A8"/>
    <w:lvl w:ilvl="0" w:tplc="438A5CC6">
      <w:start w:val="1"/>
      <w:numFmt w:val="bullet"/>
      <w:lvlText w:val=""/>
      <w:lvlJc w:val="left"/>
      <w:pPr>
        <w:tabs>
          <w:tab w:val="num" w:pos="927"/>
        </w:tabs>
        <w:ind w:left="927" w:hanging="360"/>
      </w:pPr>
      <w:rPr>
        <w:rFonts w:ascii="Symbol" w:hAnsi="Symbol" w:hint="default"/>
      </w:rPr>
    </w:lvl>
    <w:lvl w:ilvl="1" w:tplc="04070003" w:tentative="1">
      <w:start w:val="1"/>
      <w:numFmt w:val="bullet"/>
      <w:lvlText w:val="o"/>
      <w:lvlJc w:val="left"/>
      <w:pPr>
        <w:tabs>
          <w:tab w:val="num" w:pos="938"/>
        </w:tabs>
        <w:ind w:left="938" w:hanging="360"/>
      </w:pPr>
      <w:rPr>
        <w:rFonts w:ascii="Courier New" w:hAnsi="Courier New" w:cs="Courier New" w:hint="default"/>
      </w:rPr>
    </w:lvl>
    <w:lvl w:ilvl="2" w:tplc="04070005" w:tentative="1">
      <w:start w:val="1"/>
      <w:numFmt w:val="bullet"/>
      <w:lvlText w:val=""/>
      <w:lvlJc w:val="left"/>
      <w:pPr>
        <w:tabs>
          <w:tab w:val="num" w:pos="1658"/>
        </w:tabs>
        <w:ind w:left="1658" w:hanging="360"/>
      </w:pPr>
      <w:rPr>
        <w:rFonts w:ascii="Wingdings" w:hAnsi="Wingdings" w:hint="default"/>
      </w:rPr>
    </w:lvl>
    <w:lvl w:ilvl="3" w:tplc="04070001" w:tentative="1">
      <w:start w:val="1"/>
      <w:numFmt w:val="bullet"/>
      <w:lvlText w:val=""/>
      <w:lvlJc w:val="left"/>
      <w:pPr>
        <w:tabs>
          <w:tab w:val="num" w:pos="2378"/>
        </w:tabs>
        <w:ind w:left="2378" w:hanging="360"/>
      </w:pPr>
      <w:rPr>
        <w:rFonts w:ascii="Symbol" w:hAnsi="Symbol" w:hint="default"/>
      </w:rPr>
    </w:lvl>
    <w:lvl w:ilvl="4" w:tplc="04070003" w:tentative="1">
      <w:start w:val="1"/>
      <w:numFmt w:val="bullet"/>
      <w:lvlText w:val="o"/>
      <w:lvlJc w:val="left"/>
      <w:pPr>
        <w:tabs>
          <w:tab w:val="num" w:pos="3098"/>
        </w:tabs>
        <w:ind w:left="3098" w:hanging="360"/>
      </w:pPr>
      <w:rPr>
        <w:rFonts w:ascii="Courier New" w:hAnsi="Courier New" w:cs="Courier New" w:hint="default"/>
      </w:rPr>
    </w:lvl>
    <w:lvl w:ilvl="5" w:tplc="04070005" w:tentative="1">
      <w:start w:val="1"/>
      <w:numFmt w:val="bullet"/>
      <w:lvlText w:val=""/>
      <w:lvlJc w:val="left"/>
      <w:pPr>
        <w:tabs>
          <w:tab w:val="num" w:pos="3818"/>
        </w:tabs>
        <w:ind w:left="3818" w:hanging="360"/>
      </w:pPr>
      <w:rPr>
        <w:rFonts w:ascii="Wingdings" w:hAnsi="Wingdings" w:hint="default"/>
      </w:rPr>
    </w:lvl>
    <w:lvl w:ilvl="6" w:tplc="04070001" w:tentative="1">
      <w:start w:val="1"/>
      <w:numFmt w:val="bullet"/>
      <w:lvlText w:val=""/>
      <w:lvlJc w:val="left"/>
      <w:pPr>
        <w:tabs>
          <w:tab w:val="num" w:pos="4538"/>
        </w:tabs>
        <w:ind w:left="4538" w:hanging="360"/>
      </w:pPr>
      <w:rPr>
        <w:rFonts w:ascii="Symbol" w:hAnsi="Symbol" w:hint="default"/>
      </w:rPr>
    </w:lvl>
    <w:lvl w:ilvl="7" w:tplc="04070003" w:tentative="1">
      <w:start w:val="1"/>
      <w:numFmt w:val="bullet"/>
      <w:lvlText w:val="o"/>
      <w:lvlJc w:val="left"/>
      <w:pPr>
        <w:tabs>
          <w:tab w:val="num" w:pos="5258"/>
        </w:tabs>
        <w:ind w:left="5258" w:hanging="360"/>
      </w:pPr>
      <w:rPr>
        <w:rFonts w:ascii="Courier New" w:hAnsi="Courier New" w:cs="Courier New" w:hint="default"/>
      </w:rPr>
    </w:lvl>
    <w:lvl w:ilvl="8" w:tplc="04070005" w:tentative="1">
      <w:start w:val="1"/>
      <w:numFmt w:val="bullet"/>
      <w:lvlText w:val=""/>
      <w:lvlJc w:val="left"/>
      <w:pPr>
        <w:tabs>
          <w:tab w:val="num" w:pos="5978"/>
        </w:tabs>
        <w:ind w:left="5978" w:hanging="360"/>
      </w:pPr>
      <w:rPr>
        <w:rFonts w:ascii="Wingdings" w:hAnsi="Wingdings" w:hint="default"/>
      </w:rPr>
    </w:lvl>
  </w:abstractNum>
  <w:abstractNum w:abstractNumId="21">
    <w:nsid w:val="5E4A0962"/>
    <w:multiLevelType w:val="multilevel"/>
    <w:tmpl w:val="42DC4090"/>
    <w:lvl w:ilvl="0">
      <w:numFmt w:val="decimal"/>
      <w:lvlText w:val="%1."/>
      <w:lvlJc w:val="left"/>
      <w:pPr>
        <w:tabs>
          <w:tab w:val="num" w:pos="0"/>
        </w:tabs>
      </w:pPr>
      <w:rPr>
        <w:rFonts w:ascii="Arial" w:hAnsi="Arial" w:cs="Times New Roman" w:hint="default"/>
        <w:b/>
        <w:i w:val="0"/>
        <w:sz w:val="24"/>
      </w:rPr>
    </w:lvl>
    <w:lvl w:ilvl="1">
      <w:start w:val="1"/>
      <w:numFmt w:val="decimal"/>
      <w:lvlText w:val="%1.%2."/>
      <w:lvlJc w:val="left"/>
      <w:pPr>
        <w:tabs>
          <w:tab w:val="num" w:pos="0"/>
        </w:tabs>
      </w:pPr>
      <w:rPr>
        <w:rFonts w:ascii="Arial" w:hAnsi="Arial" w:cs="Times New Roman" w:hint="default"/>
        <w:b/>
        <w:i w:val="0"/>
        <w:sz w:val="24"/>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2">
    <w:nsid w:val="5F7601F0"/>
    <w:multiLevelType w:val="multilevel"/>
    <w:tmpl w:val="4CC22016"/>
    <w:lvl w:ilvl="0">
      <w:numFmt w:val="decimal"/>
      <w:lvlText w:val="%1."/>
      <w:lvlJc w:val="left"/>
      <w:pPr>
        <w:tabs>
          <w:tab w:val="num" w:pos="567"/>
        </w:tabs>
      </w:pPr>
      <w:rPr>
        <w:rFonts w:ascii="Arial" w:hAnsi="Arial" w:cs="Times New Roman" w:hint="default"/>
        <w:b/>
        <w:i w:val="0"/>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nsid w:val="60974078"/>
    <w:multiLevelType w:val="multilevel"/>
    <w:tmpl w:val="D862C384"/>
    <w:lvl w:ilvl="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4">
    <w:nsid w:val="634801DB"/>
    <w:multiLevelType w:val="multilevel"/>
    <w:tmpl w:val="6AA80830"/>
    <w:lvl w:ilvl="0">
      <w:numFmt w:val="decimal"/>
      <w:lvlText w:val="%1."/>
      <w:lvlJc w:val="left"/>
      <w:pPr>
        <w:tabs>
          <w:tab w:val="num" w:pos="567"/>
        </w:tabs>
        <w:ind w:left="567" w:hanging="567"/>
      </w:pPr>
      <w:rPr>
        <w:rFonts w:ascii="Arial" w:hAnsi="Arial"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7173968"/>
    <w:multiLevelType w:val="multilevel"/>
    <w:tmpl w:val="0F0EE354"/>
    <w:lvl w:ilvl="0">
      <w:numFmt w:val="decimal"/>
      <w:lvlText w:val="%1."/>
      <w:lvlJc w:val="left"/>
      <w:pPr>
        <w:tabs>
          <w:tab w:val="num" w:pos="737"/>
        </w:tabs>
      </w:pPr>
      <w:rPr>
        <w:rFonts w:ascii="Arial" w:hAnsi="Arial" w:cs="Times New Roman" w:hint="default"/>
        <w:b/>
        <w:i w:val="0"/>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6">
    <w:nsid w:val="6841404E"/>
    <w:multiLevelType w:val="multilevel"/>
    <w:tmpl w:val="71B6E97E"/>
    <w:lvl w:ilvl="0">
      <w:start w:val="2"/>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698C689C"/>
    <w:multiLevelType w:val="hybridMultilevel"/>
    <w:tmpl w:val="AE06956A"/>
    <w:lvl w:ilvl="0" w:tplc="C1D490E2">
      <w:start w:val="1"/>
      <w:numFmt w:val="bullet"/>
      <w:lvlText w:val=""/>
      <w:lvlJc w:val="left"/>
      <w:pPr>
        <w:tabs>
          <w:tab w:val="num" w:pos="737"/>
        </w:tabs>
        <w:ind w:left="737"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6EE92C95"/>
    <w:multiLevelType w:val="multilevel"/>
    <w:tmpl w:val="7102ECD8"/>
    <w:lvl w:ilvl="0">
      <w:numFmt w:val="decimal"/>
      <w:lvlText w:val="%1."/>
      <w:lvlJc w:val="left"/>
      <w:pPr>
        <w:tabs>
          <w:tab w:val="num" w:pos="737"/>
        </w:tabs>
      </w:pPr>
      <w:rPr>
        <w:rFonts w:ascii="Arial" w:hAnsi="Arial" w:cs="Times New Roman" w:hint="default"/>
        <w:b/>
        <w:i w:val="0"/>
        <w:color w:val="00CCFF"/>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color w:val="999999"/>
        <w:sz w:val="18"/>
        <w:szCs w:val="18"/>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9">
    <w:nsid w:val="745F438E"/>
    <w:multiLevelType w:val="multilevel"/>
    <w:tmpl w:val="C6A89AB0"/>
    <w:lvl w:ilvl="0">
      <w:numFmt w:val="decimal"/>
      <w:lvlText w:val="%1."/>
      <w:lvlJc w:val="left"/>
      <w:pPr>
        <w:tabs>
          <w:tab w:val="num" w:pos="851"/>
        </w:tabs>
      </w:pPr>
      <w:rPr>
        <w:rFonts w:ascii="Arial" w:hAnsi="Arial" w:cs="Times New Roman" w:hint="default"/>
        <w:b/>
        <w:i w:val="0"/>
        <w:sz w:val="18"/>
        <w:szCs w:val="18"/>
      </w:rPr>
    </w:lvl>
    <w:lvl w:ilvl="1">
      <w:start w:val="1"/>
      <w:numFmt w:val="decimal"/>
      <w:lvlText w:val="%1.%2."/>
      <w:lvlJc w:val="left"/>
      <w:pPr>
        <w:tabs>
          <w:tab w:val="num" w:pos="0"/>
        </w:tabs>
      </w:pPr>
      <w:rPr>
        <w:rFonts w:ascii="Arial" w:hAnsi="Arial" w:cs="Times New Roman" w:hint="default"/>
        <w:b/>
        <w:i w:val="0"/>
        <w:color w:val="999999"/>
        <w:sz w:val="18"/>
        <w:szCs w:val="18"/>
      </w:rPr>
    </w:lvl>
    <w:lvl w:ilvl="2">
      <w:start w:val="1"/>
      <w:numFmt w:val="decimal"/>
      <w:lvlText w:val="%1.%2.%3."/>
      <w:lvlJc w:val="left"/>
      <w:pPr>
        <w:tabs>
          <w:tab w:val="num" w:pos="0"/>
        </w:tabs>
      </w:pPr>
      <w:rPr>
        <w:rFonts w:ascii="Arial" w:hAnsi="Arial" w:cs="Times New Roman" w:hint="default"/>
        <w:b/>
        <w:i w:val="0"/>
        <w:sz w:val="24"/>
      </w:rPr>
    </w:lvl>
    <w:lvl w:ilvl="3">
      <w:start w:val="1"/>
      <w:numFmt w:val="decimal"/>
      <w:suff w:val="nothing"/>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0"/>
  </w:num>
  <w:num w:numId="2">
    <w:abstractNumId w:val="19"/>
  </w:num>
  <w:num w:numId="3">
    <w:abstractNumId w:val="28"/>
  </w:num>
  <w:num w:numId="4">
    <w:abstractNumId w:val="3"/>
  </w:num>
  <w:num w:numId="5">
    <w:abstractNumId w:val="24"/>
  </w:num>
  <w:num w:numId="6">
    <w:abstractNumId w:val="6"/>
  </w:num>
  <w:num w:numId="7">
    <w:abstractNumId w:val="5"/>
  </w:num>
  <w:num w:numId="8">
    <w:abstractNumId w:val="4"/>
  </w:num>
  <w:num w:numId="9">
    <w:abstractNumId w:val="0"/>
  </w:num>
  <w:num w:numId="10">
    <w:abstractNumId w:val="0"/>
  </w:num>
  <w:num w:numId="11">
    <w:abstractNumId w:val="0"/>
  </w:num>
  <w:num w:numId="12">
    <w:abstractNumId w:val="8"/>
  </w:num>
  <w:num w:numId="13">
    <w:abstractNumId w:val="8"/>
  </w:num>
  <w:num w:numId="14">
    <w:abstractNumId w:val="8"/>
  </w:num>
  <w:num w:numId="15">
    <w:abstractNumId w:val="9"/>
  </w:num>
  <w:num w:numId="16">
    <w:abstractNumId w:val="10"/>
  </w:num>
  <w:num w:numId="17">
    <w:abstractNumId w:val="21"/>
  </w:num>
  <w:num w:numId="18">
    <w:abstractNumId w:val="0"/>
  </w:num>
  <w:num w:numId="19">
    <w:abstractNumId w:val="12"/>
  </w:num>
  <w:num w:numId="20">
    <w:abstractNumId w:val="22"/>
  </w:num>
  <w:num w:numId="21">
    <w:abstractNumId w:val="29"/>
  </w:num>
  <w:num w:numId="22">
    <w:abstractNumId w:val="18"/>
  </w:num>
  <w:num w:numId="23">
    <w:abstractNumId w:val="13"/>
  </w:num>
  <w:num w:numId="24">
    <w:abstractNumId w:val="25"/>
  </w:num>
  <w:num w:numId="25">
    <w:abstractNumId w:val="1"/>
  </w:num>
  <w:num w:numId="26">
    <w:abstractNumId w:val="7"/>
  </w:num>
  <w:num w:numId="27">
    <w:abstractNumId w:val="23"/>
  </w:num>
  <w:num w:numId="28">
    <w:abstractNumId w:val="15"/>
  </w:num>
  <w:num w:numId="29">
    <w:abstractNumId w:val="2"/>
  </w:num>
  <w:num w:numId="30">
    <w:abstractNumId w:val="11"/>
  </w:num>
  <w:num w:numId="31">
    <w:abstractNumId w:val="27"/>
  </w:num>
  <w:num w:numId="32">
    <w:abstractNumId w:val="14"/>
  </w:num>
  <w:num w:numId="33">
    <w:abstractNumId w:val="20"/>
  </w:num>
  <w:num w:numId="34">
    <w:abstractNumId w:val="26"/>
  </w:num>
  <w:num w:numId="35">
    <w:abstractNumId w:val="16"/>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hA/TQ8UoHYCDL2LL7CHYyCx2UIw=" w:salt="3ht3ZVtGJ59YlC1ikgizvQ=="/>
  <w:defaultTabStop w:val="567"/>
  <w:autoHyphenation/>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096"/>
    <w:rsid w:val="00035618"/>
    <w:rsid w:val="001B00DE"/>
    <w:rsid w:val="001B3D73"/>
    <w:rsid w:val="0021722A"/>
    <w:rsid w:val="00242D13"/>
    <w:rsid w:val="002C3968"/>
    <w:rsid w:val="002F3659"/>
    <w:rsid w:val="003F757D"/>
    <w:rsid w:val="004D003A"/>
    <w:rsid w:val="00514D8B"/>
    <w:rsid w:val="00692EB7"/>
    <w:rsid w:val="008C64CA"/>
    <w:rsid w:val="008E5A58"/>
    <w:rsid w:val="00D06F9D"/>
    <w:rsid w:val="00D61164"/>
    <w:rsid w:val="00D61F7C"/>
    <w:rsid w:val="00D66B5D"/>
    <w:rsid w:val="00DA717C"/>
    <w:rsid w:val="00DE6DD6"/>
    <w:rsid w:val="00EB2EAA"/>
    <w:rsid w:val="00EE2DC8"/>
    <w:rsid w:val="00EE4096"/>
    <w:rsid w:val="00F70F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pPr>
      <w:keepNext/>
      <w:widowControl w:val="0"/>
      <w:numPr>
        <w:numId w:val="1"/>
      </w:numPr>
      <w:spacing w:before="480"/>
      <w:outlineLvl w:val="0"/>
    </w:pPr>
    <w:rPr>
      <w:b/>
      <w:szCs w:val="20"/>
    </w:rPr>
  </w:style>
  <w:style w:type="paragraph" w:styleId="berschrift2">
    <w:name w:val="heading 2"/>
    <w:basedOn w:val="Standard"/>
    <w:next w:val="Standard"/>
    <w:link w:val="berschrift2Zchn"/>
    <w:qFormat/>
    <w:pPr>
      <w:widowControl w:val="0"/>
      <w:numPr>
        <w:ilvl w:val="1"/>
        <w:numId w:val="1"/>
      </w:numPr>
      <w:spacing w:before="240" w:line="280" w:lineRule="atLeast"/>
      <w:jc w:val="both"/>
      <w:outlineLvl w:val="1"/>
    </w:pPr>
    <w:rPr>
      <w:sz w:val="22"/>
      <w:szCs w:val="20"/>
    </w:rPr>
  </w:style>
  <w:style w:type="paragraph" w:styleId="berschrift4">
    <w:name w:val="heading 4"/>
    <w:basedOn w:val="Standard"/>
    <w:next w:val="Standard"/>
    <w:link w:val="berschrift4Zchn"/>
    <w:qFormat/>
    <w:pPr>
      <w:keepNext/>
      <w:widowControl w:val="0"/>
      <w:numPr>
        <w:ilvl w:val="3"/>
        <w:numId w:val="1"/>
      </w:numPr>
      <w:ind w:right="1134"/>
      <w:outlineLvl w:val="3"/>
    </w:pPr>
    <w:rPr>
      <w:b/>
      <w:szCs w:val="20"/>
    </w:rPr>
  </w:style>
  <w:style w:type="paragraph" w:styleId="berschrift5">
    <w:name w:val="heading 5"/>
    <w:basedOn w:val="Standard"/>
    <w:next w:val="Standard"/>
    <w:link w:val="berschrift5Zchn"/>
    <w:qFormat/>
    <w:pPr>
      <w:widowControl w:val="0"/>
      <w:numPr>
        <w:ilvl w:val="4"/>
        <w:numId w:val="1"/>
      </w:numPr>
      <w:spacing w:before="240" w:after="60"/>
      <w:outlineLvl w:val="4"/>
    </w:pPr>
    <w:rPr>
      <w:sz w:val="22"/>
      <w:szCs w:val="20"/>
    </w:rPr>
  </w:style>
  <w:style w:type="paragraph" w:styleId="berschrift6">
    <w:name w:val="heading 6"/>
    <w:basedOn w:val="Standard"/>
    <w:next w:val="Standard"/>
    <w:link w:val="berschrift6Zchn"/>
    <w:qFormat/>
    <w:pPr>
      <w:widowControl w:val="0"/>
      <w:numPr>
        <w:ilvl w:val="5"/>
        <w:numId w:val="1"/>
      </w:numPr>
      <w:spacing w:before="240" w:after="60"/>
      <w:outlineLvl w:val="5"/>
    </w:pPr>
    <w:rPr>
      <w:i/>
      <w:sz w:val="22"/>
      <w:szCs w:val="20"/>
    </w:rPr>
  </w:style>
  <w:style w:type="paragraph" w:styleId="berschrift7">
    <w:name w:val="heading 7"/>
    <w:basedOn w:val="Standard"/>
    <w:next w:val="Standard"/>
    <w:link w:val="berschrift7Zchn"/>
    <w:qFormat/>
    <w:pPr>
      <w:widowControl w:val="0"/>
      <w:numPr>
        <w:ilvl w:val="6"/>
        <w:numId w:val="1"/>
      </w:numPr>
      <w:spacing w:before="240" w:after="60"/>
      <w:outlineLvl w:val="6"/>
    </w:pPr>
    <w:rPr>
      <w:sz w:val="20"/>
      <w:szCs w:val="20"/>
    </w:rPr>
  </w:style>
  <w:style w:type="paragraph" w:styleId="berschrift8">
    <w:name w:val="heading 8"/>
    <w:basedOn w:val="Standard"/>
    <w:next w:val="Standard"/>
    <w:link w:val="berschrift8Zchn"/>
    <w:qFormat/>
    <w:pPr>
      <w:widowControl w:val="0"/>
      <w:numPr>
        <w:ilvl w:val="7"/>
        <w:numId w:val="1"/>
      </w:numPr>
      <w:spacing w:before="240" w:after="60"/>
      <w:outlineLvl w:val="7"/>
    </w:pPr>
    <w:rPr>
      <w:i/>
      <w:sz w:val="20"/>
      <w:szCs w:val="20"/>
    </w:rPr>
  </w:style>
  <w:style w:type="paragraph" w:styleId="berschrift9">
    <w:name w:val="heading 9"/>
    <w:basedOn w:val="Standard"/>
    <w:next w:val="Standard"/>
    <w:link w:val="berschrift9Zchn"/>
    <w:qFormat/>
    <w:pPr>
      <w:widowControl w:val="0"/>
      <w:numPr>
        <w:ilvl w:val="8"/>
        <w:numId w:val="1"/>
      </w:numPr>
      <w:spacing w:before="240" w:after="60"/>
      <w:outlineLvl w:val="8"/>
    </w:pPr>
    <w:rPr>
      <w:b/>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character" w:customStyle="1" w:styleId="berschrift4Zchn">
    <w:name w:val="Überschrift 4 Zchn"/>
    <w:link w:val="berschrift4"/>
    <w:semiHidden/>
    <w:rPr>
      <w:rFonts w:ascii="Calibri" w:hAnsi="Calibri" w:cs="Times New Roman"/>
      <w:b/>
      <w:bCs/>
      <w:sz w:val="28"/>
      <w:szCs w:val="28"/>
    </w:rPr>
  </w:style>
  <w:style w:type="character" w:customStyle="1" w:styleId="berschrift5Zchn">
    <w:name w:val="Überschrift 5 Zchn"/>
    <w:link w:val="berschrift5"/>
    <w:semiHidden/>
    <w:rPr>
      <w:rFonts w:ascii="Calibri" w:hAnsi="Calibri" w:cs="Times New Roman"/>
      <w:b/>
      <w:bCs/>
      <w:i/>
      <w:iCs/>
      <w:sz w:val="26"/>
      <w:szCs w:val="26"/>
    </w:rPr>
  </w:style>
  <w:style w:type="character" w:customStyle="1" w:styleId="berschrift6Zchn">
    <w:name w:val="Überschrift 6 Zchn"/>
    <w:link w:val="berschrift6"/>
    <w:semiHidden/>
    <w:rPr>
      <w:rFonts w:ascii="Calibri" w:hAnsi="Calibri" w:cs="Times New Roman"/>
      <w:b/>
      <w:bCs/>
      <w:sz w:val="22"/>
      <w:szCs w:val="22"/>
    </w:rPr>
  </w:style>
  <w:style w:type="character" w:customStyle="1" w:styleId="berschrift7Zchn">
    <w:name w:val="Überschrift 7 Zchn"/>
    <w:link w:val="berschrift7"/>
    <w:semiHidden/>
    <w:rPr>
      <w:rFonts w:ascii="Calibri" w:hAnsi="Calibri" w:cs="Times New Roman"/>
      <w:sz w:val="24"/>
      <w:szCs w:val="24"/>
    </w:rPr>
  </w:style>
  <w:style w:type="character" w:customStyle="1" w:styleId="berschrift8Zchn">
    <w:name w:val="Überschrift 8 Zchn"/>
    <w:link w:val="berschrift8"/>
    <w:semiHidden/>
    <w:rPr>
      <w:rFonts w:ascii="Calibri" w:hAnsi="Calibri" w:cs="Times New Roman"/>
      <w:i/>
      <w:iCs/>
      <w:sz w:val="24"/>
      <w:szCs w:val="24"/>
    </w:rPr>
  </w:style>
  <w:style w:type="character" w:customStyle="1" w:styleId="berschrift9Zchn">
    <w:name w:val="Überschrift 9 Zchn"/>
    <w:link w:val="berschrift9"/>
    <w:semiHidden/>
    <w:rPr>
      <w:rFonts w:ascii="Cambria" w:hAnsi="Cambria" w:cs="Times New Roman"/>
      <w:sz w:val="22"/>
      <w:szCs w:val="22"/>
    </w:rPr>
  </w:style>
  <w:style w:type="paragraph" w:styleId="Verzeichnis2">
    <w:name w:val="toc 2"/>
    <w:basedOn w:val="Standard"/>
    <w:next w:val="Standard"/>
    <w:autoRedefine/>
    <w:semiHidden/>
  </w:style>
  <w:style w:type="paragraph" w:customStyle="1" w:styleId="Standard00">
    <w:name w:val="Standard00"/>
    <w:basedOn w:val="Standar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spacing w:before="120" w:line="320" w:lineRule="atLeast"/>
      <w:jc w:val="both"/>
    </w:pPr>
    <w:rPr>
      <w:sz w:val="22"/>
      <w:szCs w:val="22"/>
    </w:rPr>
  </w:style>
  <w:style w:type="paragraph" w:styleId="Fuzeile">
    <w:name w:val="footer"/>
    <w:basedOn w:val="Standard"/>
    <w:link w:val="FuzeileZchn"/>
    <w:pPr>
      <w:tabs>
        <w:tab w:val="center" w:pos="4536"/>
        <w:tab w:val="right" w:pos="9072"/>
      </w:tabs>
    </w:pPr>
  </w:style>
  <w:style w:type="character" w:customStyle="1" w:styleId="FuzeileZchn">
    <w:name w:val="Fußzeile Zchn"/>
    <w:link w:val="Fuzeile"/>
    <w:semiHidden/>
    <w:rPr>
      <w:rFonts w:ascii="Arial" w:hAnsi="Arial" w:cs="Times New Roman"/>
      <w:sz w:val="24"/>
      <w:szCs w:val="24"/>
    </w:rPr>
  </w:style>
  <w:style w:type="paragraph" w:customStyle="1" w:styleId="berschrift2-Text">
    <w:name w:val="Überschrift 2-Text"/>
    <w:basedOn w:val="berschrift2"/>
    <w:pPr>
      <w:numPr>
        <w:ilvl w:val="0"/>
        <w:numId w:val="0"/>
      </w:numPr>
      <w:tabs>
        <w:tab w:val="left" w:pos="1134"/>
      </w:tabs>
      <w:ind w:left="567"/>
      <w:outlineLvl w:val="9"/>
    </w:pPr>
  </w:style>
  <w:style w:type="character" w:styleId="Kommentarzeichen">
    <w:name w:val="annotation reference"/>
    <w:semiHidden/>
    <w:rPr>
      <w:rFonts w:cs="Times New Roman"/>
      <w:sz w:val="16"/>
    </w:rPr>
  </w:style>
  <w:style w:type="paragraph" w:styleId="Kommentartext">
    <w:name w:val="annotation text"/>
    <w:basedOn w:val="Standard"/>
    <w:link w:val="KommentartextZchn"/>
    <w:semiHidden/>
    <w:pPr>
      <w:widowControl w:val="0"/>
      <w:spacing w:after="80" w:line="240" w:lineRule="atLeast"/>
    </w:pPr>
    <w:rPr>
      <w:sz w:val="20"/>
      <w:szCs w:val="20"/>
    </w:rPr>
  </w:style>
  <w:style w:type="character" w:customStyle="1" w:styleId="KommentartextZchn">
    <w:name w:val="Kommentartext Zchn"/>
    <w:link w:val="Kommentartext"/>
    <w:semiHidden/>
    <w:rPr>
      <w:rFonts w:ascii="Arial" w:hAnsi="Arial" w:cs="Times New Roman"/>
    </w:rPr>
  </w:style>
  <w:style w:type="paragraph" w:customStyle="1" w:styleId="berschrift2-TextA">
    <w:name w:val="Überschrift 2-TextA"/>
    <w:basedOn w:val="Standard"/>
    <w:pPr>
      <w:widowControl w:val="0"/>
      <w:numPr>
        <w:numId w:val="12"/>
      </w:numPr>
      <w:tabs>
        <w:tab w:val="left" w:pos="1134"/>
      </w:tabs>
      <w:spacing w:before="240" w:line="280" w:lineRule="atLeast"/>
      <w:jc w:val="both"/>
    </w:pPr>
    <w:rPr>
      <w:sz w:val="22"/>
      <w:szCs w:val="20"/>
    </w:rPr>
  </w:style>
  <w:style w:type="paragraph" w:styleId="Kopfzeile">
    <w:name w:val="header"/>
    <w:basedOn w:val="Standard"/>
    <w:link w:val="KopfzeileZchn"/>
    <w:pPr>
      <w:tabs>
        <w:tab w:val="center" w:pos="4536"/>
        <w:tab w:val="right" w:pos="9072"/>
      </w:tabs>
    </w:pPr>
  </w:style>
  <w:style w:type="character" w:customStyle="1" w:styleId="KopfzeileZchn">
    <w:name w:val="Kopfzeile Zchn"/>
    <w:link w:val="Kopfzeile"/>
    <w:semiHidden/>
    <w:rPr>
      <w:rFonts w:ascii="Arial" w:hAnsi="Arial" w:cs="Times New Roman"/>
      <w:sz w:val="24"/>
      <w:szCs w:val="24"/>
    </w:rPr>
  </w:style>
  <w:style w:type="paragraph" w:styleId="Sprechblasentext">
    <w:name w:val="Balloon Text"/>
    <w:basedOn w:val="Standard"/>
    <w:link w:val="SprechblasentextZchn"/>
    <w:semiHidden/>
    <w:rPr>
      <w:rFonts w:ascii="Tahoma" w:hAnsi="Tahoma" w:cs="Tahoma"/>
      <w:sz w:val="16"/>
      <w:szCs w:val="16"/>
    </w:rPr>
  </w:style>
  <w:style w:type="character" w:customStyle="1" w:styleId="SprechblasentextZchn">
    <w:name w:val="Sprechblasentext Zchn"/>
    <w:link w:val="Sprechblasentext"/>
    <w:semiHidden/>
    <w:rPr>
      <w:rFonts w:cs="Times New Roman"/>
      <w:sz w:val="2"/>
    </w:rPr>
  </w:style>
  <w:style w:type="character" w:styleId="Seitenzahl">
    <w:name w:val="page number"/>
    <w:rPr>
      <w:rFonts w:cs="Times New Roman"/>
    </w:rPr>
  </w:style>
  <w:style w:type="paragraph" w:customStyle="1" w:styleId="Linien">
    <w:name w:val="Linien"/>
    <w:basedOn w:val="Standard"/>
    <w:pPr>
      <w:spacing w:before="60" w:after="60"/>
    </w:pPr>
    <w:rPr>
      <w:rFonts w:eastAsia="Times" w:cs="Arial"/>
      <w:color w:val="999999"/>
      <w:sz w:val="18"/>
      <w:szCs w:val="20"/>
    </w:rPr>
  </w:style>
  <w:style w:type="paragraph" w:customStyle="1" w:styleId="NormalBold">
    <w:name w:val="Normal Bold"/>
    <w:basedOn w:val="Standard"/>
    <w:pPr>
      <w:spacing w:after="100"/>
    </w:pPr>
    <w:rPr>
      <w:rFonts w:eastAsia="Times" w:cs="Arial"/>
      <w:b/>
      <w:sz w:val="18"/>
      <w:szCs w:val="20"/>
    </w:rPr>
  </w:style>
  <w:style w:type="paragraph" w:styleId="Kommentarthema">
    <w:name w:val="annotation subject"/>
    <w:basedOn w:val="Kommentartext"/>
    <w:next w:val="Kommentartext"/>
    <w:semiHidden/>
    <w:pPr>
      <w:widowControl/>
      <w:spacing w:after="0" w:line="240" w:lineRule="auto"/>
    </w:pPr>
    <w:rPr>
      <w:b/>
      <w:bCs/>
    </w:rPr>
  </w:style>
  <w:style w:type="paragraph" w:customStyle="1" w:styleId="text">
    <w:name w:val="text"/>
    <w:basedOn w:val="Standard"/>
    <w:pPr>
      <w:jc w:val="both"/>
    </w:pPr>
    <w:rPr>
      <w:rFonts w:cs="Arial"/>
      <w:sz w:val="22"/>
      <w:szCs w:val="22"/>
    </w:rPr>
  </w:style>
  <w:style w:type="character" w:styleId="Hyperlink">
    <w:name w:val="Hyperlink"/>
    <w:rPr>
      <w:color w:val="0000FF"/>
      <w:u w:val="single"/>
    </w:rPr>
  </w:style>
  <w:style w:type="character" w:styleId="Hervorhebung">
    <w:name w:val="Emphasis"/>
    <w:qFormat/>
    <w:rPr>
      <w:i/>
      <w:iCs/>
    </w:rPr>
  </w:style>
  <w:style w:type="paragraph" w:customStyle="1" w:styleId="Standard-Eingezogen">
    <w:name w:val="Standard-Eingezogen"/>
    <w:basedOn w:val="Standard"/>
    <w:pPr>
      <w:numPr>
        <w:numId w:val="36"/>
      </w:numPr>
      <w:spacing w:after="100"/>
    </w:pPr>
    <w:rPr>
      <w:rFonts w:eastAsia="Times" w:cs="Arial"/>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pPr>
      <w:keepNext/>
      <w:widowControl w:val="0"/>
      <w:numPr>
        <w:numId w:val="1"/>
      </w:numPr>
      <w:spacing w:before="480"/>
      <w:outlineLvl w:val="0"/>
    </w:pPr>
    <w:rPr>
      <w:b/>
      <w:szCs w:val="20"/>
    </w:rPr>
  </w:style>
  <w:style w:type="paragraph" w:styleId="berschrift2">
    <w:name w:val="heading 2"/>
    <w:basedOn w:val="Standard"/>
    <w:next w:val="Standard"/>
    <w:link w:val="berschrift2Zchn"/>
    <w:qFormat/>
    <w:pPr>
      <w:widowControl w:val="0"/>
      <w:numPr>
        <w:ilvl w:val="1"/>
        <w:numId w:val="1"/>
      </w:numPr>
      <w:spacing w:before="240" w:line="280" w:lineRule="atLeast"/>
      <w:jc w:val="both"/>
      <w:outlineLvl w:val="1"/>
    </w:pPr>
    <w:rPr>
      <w:sz w:val="22"/>
      <w:szCs w:val="20"/>
    </w:rPr>
  </w:style>
  <w:style w:type="paragraph" w:styleId="berschrift4">
    <w:name w:val="heading 4"/>
    <w:basedOn w:val="Standard"/>
    <w:next w:val="Standard"/>
    <w:link w:val="berschrift4Zchn"/>
    <w:qFormat/>
    <w:pPr>
      <w:keepNext/>
      <w:widowControl w:val="0"/>
      <w:numPr>
        <w:ilvl w:val="3"/>
        <w:numId w:val="1"/>
      </w:numPr>
      <w:ind w:right="1134"/>
      <w:outlineLvl w:val="3"/>
    </w:pPr>
    <w:rPr>
      <w:b/>
      <w:szCs w:val="20"/>
    </w:rPr>
  </w:style>
  <w:style w:type="paragraph" w:styleId="berschrift5">
    <w:name w:val="heading 5"/>
    <w:basedOn w:val="Standard"/>
    <w:next w:val="Standard"/>
    <w:link w:val="berschrift5Zchn"/>
    <w:qFormat/>
    <w:pPr>
      <w:widowControl w:val="0"/>
      <w:numPr>
        <w:ilvl w:val="4"/>
        <w:numId w:val="1"/>
      </w:numPr>
      <w:spacing w:before="240" w:after="60"/>
      <w:outlineLvl w:val="4"/>
    </w:pPr>
    <w:rPr>
      <w:sz w:val="22"/>
      <w:szCs w:val="20"/>
    </w:rPr>
  </w:style>
  <w:style w:type="paragraph" w:styleId="berschrift6">
    <w:name w:val="heading 6"/>
    <w:basedOn w:val="Standard"/>
    <w:next w:val="Standard"/>
    <w:link w:val="berschrift6Zchn"/>
    <w:qFormat/>
    <w:pPr>
      <w:widowControl w:val="0"/>
      <w:numPr>
        <w:ilvl w:val="5"/>
        <w:numId w:val="1"/>
      </w:numPr>
      <w:spacing w:before="240" w:after="60"/>
      <w:outlineLvl w:val="5"/>
    </w:pPr>
    <w:rPr>
      <w:i/>
      <w:sz w:val="22"/>
      <w:szCs w:val="20"/>
    </w:rPr>
  </w:style>
  <w:style w:type="paragraph" w:styleId="berschrift7">
    <w:name w:val="heading 7"/>
    <w:basedOn w:val="Standard"/>
    <w:next w:val="Standard"/>
    <w:link w:val="berschrift7Zchn"/>
    <w:qFormat/>
    <w:pPr>
      <w:widowControl w:val="0"/>
      <w:numPr>
        <w:ilvl w:val="6"/>
        <w:numId w:val="1"/>
      </w:numPr>
      <w:spacing w:before="240" w:after="60"/>
      <w:outlineLvl w:val="6"/>
    </w:pPr>
    <w:rPr>
      <w:sz w:val="20"/>
      <w:szCs w:val="20"/>
    </w:rPr>
  </w:style>
  <w:style w:type="paragraph" w:styleId="berschrift8">
    <w:name w:val="heading 8"/>
    <w:basedOn w:val="Standard"/>
    <w:next w:val="Standard"/>
    <w:link w:val="berschrift8Zchn"/>
    <w:qFormat/>
    <w:pPr>
      <w:widowControl w:val="0"/>
      <w:numPr>
        <w:ilvl w:val="7"/>
        <w:numId w:val="1"/>
      </w:numPr>
      <w:spacing w:before="240" w:after="60"/>
      <w:outlineLvl w:val="7"/>
    </w:pPr>
    <w:rPr>
      <w:i/>
      <w:sz w:val="20"/>
      <w:szCs w:val="20"/>
    </w:rPr>
  </w:style>
  <w:style w:type="paragraph" w:styleId="berschrift9">
    <w:name w:val="heading 9"/>
    <w:basedOn w:val="Standard"/>
    <w:next w:val="Standard"/>
    <w:link w:val="berschrift9Zchn"/>
    <w:qFormat/>
    <w:pPr>
      <w:widowControl w:val="0"/>
      <w:numPr>
        <w:ilvl w:val="8"/>
        <w:numId w:val="1"/>
      </w:numPr>
      <w:spacing w:before="240" w:after="60"/>
      <w:outlineLvl w:val="8"/>
    </w:pPr>
    <w:rPr>
      <w:b/>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character" w:customStyle="1" w:styleId="berschrift4Zchn">
    <w:name w:val="Überschrift 4 Zchn"/>
    <w:link w:val="berschrift4"/>
    <w:semiHidden/>
    <w:rPr>
      <w:rFonts w:ascii="Calibri" w:hAnsi="Calibri" w:cs="Times New Roman"/>
      <w:b/>
      <w:bCs/>
      <w:sz w:val="28"/>
      <w:szCs w:val="28"/>
    </w:rPr>
  </w:style>
  <w:style w:type="character" w:customStyle="1" w:styleId="berschrift5Zchn">
    <w:name w:val="Überschrift 5 Zchn"/>
    <w:link w:val="berschrift5"/>
    <w:semiHidden/>
    <w:rPr>
      <w:rFonts w:ascii="Calibri" w:hAnsi="Calibri" w:cs="Times New Roman"/>
      <w:b/>
      <w:bCs/>
      <w:i/>
      <w:iCs/>
      <w:sz w:val="26"/>
      <w:szCs w:val="26"/>
    </w:rPr>
  </w:style>
  <w:style w:type="character" w:customStyle="1" w:styleId="berschrift6Zchn">
    <w:name w:val="Überschrift 6 Zchn"/>
    <w:link w:val="berschrift6"/>
    <w:semiHidden/>
    <w:rPr>
      <w:rFonts w:ascii="Calibri" w:hAnsi="Calibri" w:cs="Times New Roman"/>
      <w:b/>
      <w:bCs/>
      <w:sz w:val="22"/>
      <w:szCs w:val="22"/>
    </w:rPr>
  </w:style>
  <w:style w:type="character" w:customStyle="1" w:styleId="berschrift7Zchn">
    <w:name w:val="Überschrift 7 Zchn"/>
    <w:link w:val="berschrift7"/>
    <w:semiHidden/>
    <w:rPr>
      <w:rFonts w:ascii="Calibri" w:hAnsi="Calibri" w:cs="Times New Roman"/>
      <w:sz w:val="24"/>
      <w:szCs w:val="24"/>
    </w:rPr>
  </w:style>
  <w:style w:type="character" w:customStyle="1" w:styleId="berschrift8Zchn">
    <w:name w:val="Überschrift 8 Zchn"/>
    <w:link w:val="berschrift8"/>
    <w:semiHidden/>
    <w:rPr>
      <w:rFonts w:ascii="Calibri" w:hAnsi="Calibri" w:cs="Times New Roman"/>
      <w:i/>
      <w:iCs/>
      <w:sz w:val="24"/>
      <w:szCs w:val="24"/>
    </w:rPr>
  </w:style>
  <w:style w:type="character" w:customStyle="1" w:styleId="berschrift9Zchn">
    <w:name w:val="Überschrift 9 Zchn"/>
    <w:link w:val="berschrift9"/>
    <w:semiHidden/>
    <w:rPr>
      <w:rFonts w:ascii="Cambria" w:hAnsi="Cambria" w:cs="Times New Roman"/>
      <w:sz w:val="22"/>
      <w:szCs w:val="22"/>
    </w:rPr>
  </w:style>
  <w:style w:type="paragraph" w:styleId="Verzeichnis2">
    <w:name w:val="toc 2"/>
    <w:basedOn w:val="Standard"/>
    <w:next w:val="Standard"/>
    <w:autoRedefine/>
    <w:semiHidden/>
  </w:style>
  <w:style w:type="paragraph" w:customStyle="1" w:styleId="Standard00">
    <w:name w:val="Standard00"/>
    <w:basedOn w:val="Standar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spacing w:before="120" w:line="320" w:lineRule="atLeast"/>
      <w:jc w:val="both"/>
    </w:pPr>
    <w:rPr>
      <w:sz w:val="22"/>
      <w:szCs w:val="22"/>
    </w:rPr>
  </w:style>
  <w:style w:type="paragraph" w:styleId="Fuzeile">
    <w:name w:val="footer"/>
    <w:basedOn w:val="Standard"/>
    <w:link w:val="FuzeileZchn"/>
    <w:pPr>
      <w:tabs>
        <w:tab w:val="center" w:pos="4536"/>
        <w:tab w:val="right" w:pos="9072"/>
      </w:tabs>
    </w:pPr>
  </w:style>
  <w:style w:type="character" w:customStyle="1" w:styleId="FuzeileZchn">
    <w:name w:val="Fußzeile Zchn"/>
    <w:link w:val="Fuzeile"/>
    <w:semiHidden/>
    <w:rPr>
      <w:rFonts w:ascii="Arial" w:hAnsi="Arial" w:cs="Times New Roman"/>
      <w:sz w:val="24"/>
      <w:szCs w:val="24"/>
    </w:rPr>
  </w:style>
  <w:style w:type="paragraph" w:customStyle="1" w:styleId="berschrift2-Text">
    <w:name w:val="Überschrift 2-Text"/>
    <w:basedOn w:val="berschrift2"/>
    <w:pPr>
      <w:numPr>
        <w:ilvl w:val="0"/>
        <w:numId w:val="0"/>
      </w:numPr>
      <w:tabs>
        <w:tab w:val="left" w:pos="1134"/>
      </w:tabs>
      <w:ind w:left="567"/>
      <w:outlineLvl w:val="9"/>
    </w:pPr>
  </w:style>
  <w:style w:type="character" w:styleId="Kommentarzeichen">
    <w:name w:val="annotation reference"/>
    <w:semiHidden/>
    <w:rPr>
      <w:rFonts w:cs="Times New Roman"/>
      <w:sz w:val="16"/>
    </w:rPr>
  </w:style>
  <w:style w:type="paragraph" w:styleId="Kommentartext">
    <w:name w:val="annotation text"/>
    <w:basedOn w:val="Standard"/>
    <w:link w:val="KommentartextZchn"/>
    <w:semiHidden/>
    <w:pPr>
      <w:widowControl w:val="0"/>
      <w:spacing w:after="80" w:line="240" w:lineRule="atLeast"/>
    </w:pPr>
    <w:rPr>
      <w:sz w:val="20"/>
      <w:szCs w:val="20"/>
    </w:rPr>
  </w:style>
  <w:style w:type="character" w:customStyle="1" w:styleId="KommentartextZchn">
    <w:name w:val="Kommentartext Zchn"/>
    <w:link w:val="Kommentartext"/>
    <w:semiHidden/>
    <w:rPr>
      <w:rFonts w:ascii="Arial" w:hAnsi="Arial" w:cs="Times New Roman"/>
    </w:rPr>
  </w:style>
  <w:style w:type="paragraph" w:customStyle="1" w:styleId="berschrift2-TextA">
    <w:name w:val="Überschrift 2-TextA"/>
    <w:basedOn w:val="Standard"/>
    <w:pPr>
      <w:widowControl w:val="0"/>
      <w:numPr>
        <w:numId w:val="12"/>
      </w:numPr>
      <w:tabs>
        <w:tab w:val="left" w:pos="1134"/>
      </w:tabs>
      <w:spacing w:before="240" w:line="280" w:lineRule="atLeast"/>
      <w:jc w:val="both"/>
    </w:pPr>
    <w:rPr>
      <w:sz w:val="22"/>
      <w:szCs w:val="20"/>
    </w:rPr>
  </w:style>
  <w:style w:type="paragraph" w:styleId="Kopfzeile">
    <w:name w:val="header"/>
    <w:basedOn w:val="Standard"/>
    <w:link w:val="KopfzeileZchn"/>
    <w:pPr>
      <w:tabs>
        <w:tab w:val="center" w:pos="4536"/>
        <w:tab w:val="right" w:pos="9072"/>
      </w:tabs>
    </w:pPr>
  </w:style>
  <w:style w:type="character" w:customStyle="1" w:styleId="KopfzeileZchn">
    <w:name w:val="Kopfzeile Zchn"/>
    <w:link w:val="Kopfzeile"/>
    <w:semiHidden/>
    <w:rPr>
      <w:rFonts w:ascii="Arial" w:hAnsi="Arial" w:cs="Times New Roman"/>
      <w:sz w:val="24"/>
      <w:szCs w:val="24"/>
    </w:rPr>
  </w:style>
  <w:style w:type="paragraph" w:styleId="Sprechblasentext">
    <w:name w:val="Balloon Text"/>
    <w:basedOn w:val="Standard"/>
    <w:link w:val="SprechblasentextZchn"/>
    <w:semiHidden/>
    <w:rPr>
      <w:rFonts w:ascii="Tahoma" w:hAnsi="Tahoma" w:cs="Tahoma"/>
      <w:sz w:val="16"/>
      <w:szCs w:val="16"/>
    </w:rPr>
  </w:style>
  <w:style w:type="character" w:customStyle="1" w:styleId="SprechblasentextZchn">
    <w:name w:val="Sprechblasentext Zchn"/>
    <w:link w:val="Sprechblasentext"/>
    <w:semiHidden/>
    <w:rPr>
      <w:rFonts w:cs="Times New Roman"/>
      <w:sz w:val="2"/>
    </w:rPr>
  </w:style>
  <w:style w:type="character" w:styleId="Seitenzahl">
    <w:name w:val="page number"/>
    <w:rPr>
      <w:rFonts w:cs="Times New Roman"/>
    </w:rPr>
  </w:style>
  <w:style w:type="paragraph" w:customStyle="1" w:styleId="Linien">
    <w:name w:val="Linien"/>
    <w:basedOn w:val="Standard"/>
    <w:pPr>
      <w:spacing w:before="60" w:after="60"/>
    </w:pPr>
    <w:rPr>
      <w:rFonts w:eastAsia="Times" w:cs="Arial"/>
      <w:color w:val="999999"/>
      <w:sz w:val="18"/>
      <w:szCs w:val="20"/>
    </w:rPr>
  </w:style>
  <w:style w:type="paragraph" w:customStyle="1" w:styleId="NormalBold">
    <w:name w:val="Normal Bold"/>
    <w:basedOn w:val="Standard"/>
    <w:pPr>
      <w:spacing w:after="100"/>
    </w:pPr>
    <w:rPr>
      <w:rFonts w:eastAsia="Times" w:cs="Arial"/>
      <w:b/>
      <w:sz w:val="18"/>
      <w:szCs w:val="20"/>
    </w:rPr>
  </w:style>
  <w:style w:type="paragraph" w:styleId="Kommentarthema">
    <w:name w:val="annotation subject"/>
    <w:basedOn w:val="Kommentartext"/>
    <w:next w:val="Kommentartext"/>
    <w:semiHidden/>
    <w:pPr>
      <w:widowControl/>
      <w:spacing w:after="0" w:line="240" w:lineRule="auto"/>
    </w:pPr>
    <w:rPr>
      <w:b/>
      <w:bCs/>
    </w:rPr>
  </w:style>
  <w:style w:type="paragraph" w:customStyle="1" w:styleId="text">
    <w:name w:val="text"/>
    <w:basedOn w:val="Standard"/>
    <w:pPr>
      <w:jc w:val="both"/>
    </w:pPr>
    <w:rPr>
      <w:rFonts w:cs="Arial"/>
      <w:sz w:val="22"/>
      <w:szCs w:val="22"/>
    </w:rPr>
  </w:style>
  <w:style w:type="character" w:styleId="Hyperlink">
    <w:name w:val="Hyperlink"/>
    <w:rPr>
      <w:color w:val="0000FF"/>
      <w:u w:val="single"/>
    </w:rPr>
  </w:style>
  <w:style w:type="character" w:styleId="Hervorhebung">
    <w:name w:val="Emphasis"/>
    <w:qFormat/>
    <w:rPr>
      <w:i/>
      <w:iCs/>
    </w:rPr>
  </w:style>
  <w:style w:type="paragraph" w:customStyle="1" w:styleId="Standard-Eingezogen">
    <w:name w:val="Standard-Eingezogen"/>
    <w:basedOn w:val="Standard"/>
    <w:pPr>
      <w:numPr>
        <w:numId w:val="36"/>
      </w:numPr>
      <w:spacing w:after="100"/>
    </w:pPr>
    <w:rPr>
      <w:rFonts w:eastAsia="Times" w:cs="Arial"/>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915557">
      <w:bodyDiv w:val="1"/>
      <w:marLeft w:val="0"/>
      <w:marRight w:val="0"/>
      <w:marTop w:val="0"/>
      <w:marBottom w:val="0"/>
      <w:divBdr>
        <w:top w:val="none" w:sz="0" w:space="0" w:color="auto"/>
        <w:left w:val="none" w:sz="0" w:space="0" w:color="auto"/>
        <w:bottom w:val="none" w:sz="0" w:space="0" w:color="auto"/>
        <w:right w:val="none" w:sz="0" w:space="0" w:color="auto"/>
      </w:divBdr>
    </w:div>
    <w:div w:id="558252576">
      <w:bodyDiv w:val="1"/>
      <w:marLeft w:val="0"/>
      <w:marRight w:val="0"/>
      <w:marTop w:val="0"/>
      <w:marBottom w:val="0"/>
      <w:divBdr>
        <w:top w:val="none" w:sz="0" w:space="0" w:color="auto"/>
        <w:left w:val="none" w:sz="0" w:space="0" w:color="auto"/>
        <w:bottom w:val="none" w:sz="0" w:space="0" w:color="auto"/>
        <w:right w:val="none" w:sz="0" w:space="0" w:color="auto"/>
      </w:divBdr>
    </w:div>
    <w:div w:id="1647278213">
      <w:bodyDiv w:val="1"/>
      <w:marLeft w:val="0"/>
      <w:marRight w:val="0"/>
      <w:marTop w:val="0"/>
      <w:marBottom w:val="0"/>
      <w:divBdr>
        <w:top w:val="none" w:sz="0" w:space="0" w:color="auto"/>
        <w:left w:val="none" w:sz="0" w:space="0" w:color="auto"/>
        <w:bottom w:val="none" w:sz="0" w:space="0" w:color="auto"/>
        <w:right w:val="none" w:sz="0" w:space="0" w:color="auto"/>
      </w:divBdr>
    </w:div>
    <w:div w:id="1704405024">
      <w:bodyDiv w:val="1"/>
      <w:marLeft w:val="0"/>
      <w:marRight w:val="0"/>
      <w:marTop w:val="0"/>
      <w:marBottom w:val="0"/>
      <w:divBdr>
        <w:top w:val="none" w:sz="0" w:space="0" w:color="auto"/>
        <w:left w:val="none" w:sz="0" w:space="0" w:color="auto"/>
        <w:bottom w:val="none" w:sz="0" w:space="0" w:color="auto"/>
        <w:right w:val="none" w:sz="0" w:space="0" w:color="auto"/>
      </w:divBdr>
    </w:div>
    <w:div w:id="202840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w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961FC4D5.dotm</Template>
  <TotalTime>0</TotalTime>
  <Pages>19</Pages>
  <Words>6798</Words>
  <Characters>42828</Characters>
  <Application>Microsoft Office Word</Application>
  <DocSecurity>0</DocSecurity>
  <Lines>356</Lines>
  <Paragraphs>99</Paragraphs>
  <ScaleCrop>false</ScaleCrop>
  <Company/>
  <LinksUpToDate>false</LinksUpToDate>
  <CharactersWithSpaces>49527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2017-11-23T09:51:00Z</dcterms:created>
  <dcterms:modified xsi:type="dcterms:W3CDTF">2017-11-23T09:52:00Z</dcterms:modified>
</cp:coreProperties>
</file>